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 TO</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SECTION 13 OR 15(d)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May 6, 2020</w:t>
      </w:r>
    </w:p>
    <w:p>
      <w:pPr>
        <w:spacing w:after="0" w:line="163" w:lineRule="exact"/>
        <w:rPr>
          <w:sz w:val="24"/>
          <w:szCs w:val="24"/>
          <w:color w:val="auto"/>
        </w:rPr>
      </w:pPr>
    </w:p>
    <w:p>
      <w:pPr>
        <w:jc w:val="center"/>
        <w:ind w:right="-119"/>
        <w:spacing w:after="0"/>
        <w:rPr>
          <w:sz w:val="20"/>
          <w:szCs w:val="20"/>
          <w:color w:val="auto"/>
        </w:rPr>
      </w:pPr>
      <w:r>
        <w:rPr>
          <w:rFonts w:ascii="Arial" w:cs="Arial" w:eastAsia="Arial" w:hAnsi="Arial"/>
          <w:sz w:val="41"/>
          <w:szCs w:val="41"/>
          <w:b w:val="1"/>
          <w:bCs w:val="1"/>
          <w:color w:val="auto"/>
        </w:rPr>
        <w:t>DiamondRock Hospitality Company</w:t>
      </w:r>
    </w:p>
    <w:p>
      <w:pPr>
        <w:spacing w:after="0" w:line="7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140"/>
          </w:cols>
          <w:pgMar w:left="320" w:top="1003" w:right="439" w:bottom="1440" w:gutter="0" w:footer="0" w:header="0"/>
        </w:sectPr>
      </w:pPr>
    </w:p>
    <w:p>
      <w:pPr>
        <w:spacing w:after="0" w:line="151" w:lineRule="exact"/>
        <w:rPr>
          <w:sz w:val="24"/>
          <w:szCs w:val="24"/>
          <w:color w:val="auto"/>
        </w:rPr>
      </w:pPr>
    </w:p>
    <w:p>
      <w:pPr>
        <w:ind w:left="12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001-32514</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20-1180098</w:t>
      </w:r>
    </w:p>
    <w:p>
      <w:pPr>
        <w:spacing w:after="0" w:line="81" w:lineRule="exact"/>
        <w:rPr>
          <w:sz w:val="24"/>
          <w:szCs w:val="24"/>
          <w:color w:val="auto"/>
        </w:rPr>
      </w:pPr>
    </w:p>
    <w:p>
      <w:pPr>
        <w:sectPr>
          <w:pgSz w:w="11900" w:h="16838" w:orient="portrait"/>
          <w:cols w:equalWidth="0" w:num="3">
            <w:col w:w="5380" w:space="720"/>
            <w:col w:w="2480" w:space="720"/>
            <w:col w:w="1840"/>
          </w:cols>
          <w:pgMar w:left="320" w:top="1003" w:right="439" w:bottom="1440" w:gutter="0" w:footer="0" w:header="0"/>
          <w:type w:val="continuous"/>
        </w:sectPr>
      </w:pPr>
    </w:p>
    <w:p>
      <w:pPr>
        <w:jc w:val="center"/>
        <w:ind w:right="218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84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5340" w:space="720"/>
            <w:col w:w="2380" w:space="720"/>
            <w:col w:w="1980"/>
          </w:cols>
          <w:pgMar w:left="320" w:top="1003" w:right="43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2 Bethesda Metro Center, Suite 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Bethesda, MD 20814</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47"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 (240) 744-1150</w:t>
      </w:r>
    </w:p>
    <w:p>
      <w:pPr>
        <w:sectPr>
          <w:pgSz w:w="11900" w:h="16838" w:orient="portrait"/>
          <w:cols w:equalWidth="0" w:num="1">
            <w:col w:w="11140"/>
          </w:cols>
          <w:pgMar w:left="320" w:top="1003" w:right="439" w:bottom="1440" w:gutter="0" w:footer="0" w:header="0"/>
          <w:type w:val="continuous"/>
        </w:sectPr>
      </w:pPr>
    </w:p>
    <w:p>
      <w:pPr>
        <w:spacing w:after="0" w:line="194"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64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0" w:hanging="64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0" w:hanging="64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4"/>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78"/>
        </w:trPr>
        <w:tc>
          <w:tcPr>
            <w:tcW w:w="520" w:type="dxa"/>
            <w:vAlign w:val="bottom"/>
          </w:tcPr>
          <w:p>
            <w:pPr>
              <w:spacing w:after="0"/>
              <w:rPr>
                <w:sz w:val="24"/>
                <w:szCs w:val="24"/>
                <w:color w:val="auto"/>
              </w:rPr>
            </w:pPr>
          </w:p>
        </w:tc>
        <w:tc>
          <w:tcPr>
            <w:tcW w:w="37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Title of each class</w:t>
            </w: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Trading Symbol(s)</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52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374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Common Stock, $0.01 par value</w:t>
            </w:r>
          </w:p>
        </w:tc>
        <w:tc>
          <w:tcPr>
            <w:tcW w:w="19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DRH</w:t>
            </w: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ind w:right="20" w:firstLine="39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600" w:hanging="201"/>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sz w:val="24"/>
          <w:szCs w:val="24"/>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003" w:right="439" w:bottom="1440" w:gutter="0" w:footer="0" w:header="0"/>
          <w:type w:val="continuous"/>
        </w:sectPr>
      </w:pPr>
    </w:p>
    <w:bookmarkStart w:id="1" w:name="page2"/>
    <w:bookmarkEnd w:id="1"/>
    <w:p>
      <w:pPr>
        <w:ind w:right="20"/>
        <w:spacing w:after="0" w:line="271" w:lineRule="auto"/>
        <w:rPr>
          <w:sz w:val="20"/>
          <w:szCs w:val="20"/>
          <w:color w:val="auto"/>
        </w:rPr>
      </w:pPr>
      <w:r>
        <w:rPr>
          <w:rFonts w:ascii="Arial" w:cs="Arial" w:eastAsia="Arial" w:hAnsi="Arial"/>
          <w:sz w:val="18"/>
          <w:szCs w:val="18"/>
          <w:i w:val="1"/>
          <w:iCs w:val="1"/>
          <w:color w:val="auto"/>
        </w:rPr>
        <w:t>This Current Report on Form 8-K (“Current Report”) contains forward-looking statements within the meaning of federal securities laws and regulations. These forward-looking statements are identified by their use of terms and phrases such as “believe,” “expect,” “intend,” “project,” “anticipate,” “position,”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These risks include, but are not limited to those risks and uncertainties associated with our business described from time to time in our filings with the Securities and Exchange Commission, including our Annual Report on Form 10-K filed on February 28, 2020 and in our Quarterly Report on Form 10-Q filed on May 11, 2020. Although we believe the expectations reflected in such forward-looking statements are based upon reasonable assumptions, we can give no assurance that the expectations will be attained or that any deviation will not be material. All information in this Current Report is as of the date of this Current Report, and we undertake no obligation to update any forward-looking statement to conform the statement to actual results or changes in our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87" w:lineRule="exact"/>
        <w:rPr>
          <w:sz w:val="20"/>
          <w:szCs w:val="20"/>
          <w:color w:val="auto"/>
        </w:rPr>
      </w:pPr>
    </w:p>
    <w:p>
      <w:pPr>
        <w:jc w:val="both"/>
        <w:ind w:firstLine="405"/>
        <w:spacing w:after="0" w:line="316" w:lineRule="auto"/>
        <w:rPr>
          <w:sz w:val="20"/>
          <w:szCs w:val="20"/>
          <w:color w:val="auto"/>
        </w:rPr>
      </w:pPr>
      <w:r>
        <w:rPr>
          <w:rFonts w:ascii="Arial" w:cs="Arial" w:eastAsia="Arial" w:hAnsi="Arial"/>
          <w:sz w:val="18"/>
          <w:szCs w:val="18"/>
          <w:color w:val="auto"/>
        </w:rPr>
        <w:t>On May 11, 2020, DiamondRock Hospitality Company (the “Company”) issued a press release announcing its financial results for the quarter ended March 31, 2020. A copy of that press release is furnished as Exhibit 99.1 and is incorporated by reference herein.</w:t>
      </w:r>
    </w:p>
    <w:p>
      <w:pPr>
        <w:spacing w:after="0" w:line="143"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20"/>
          <w:szCs w:val="20"/>
          <w:color w:val="auto"/>
        </w:rPr>
        <w:t>The information furnished pursuant to this Item 2.02, including Exhibit 99.1, shall not be deemed “filed” for any purpose, including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regardless of any general incorporation language in such filing.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235"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On May 6, 2020, the Company held its annual meeting of stockholders (the “Annual Meeting”). The results of the voting at the Annual Meeting were as follows:</w:t>
      </w:r>
    </w:p>
    <w:p>
      <w:pPr>
        <w:spacing w:after="0" w:line="190"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directors were elected to the Company’s Board of Directors (constituting the entire Board of Directors) to serve until the</w:t>
      </w:r>
    </w:p>
    <w:p>
      <w:pPr>
        <w:spacing w:after="0" w:line="38"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20"/>
          <w:szCs w:val="20"/>
          <w:color w:val="auto"/>
        </w:rPr>
        <w:t>2021 annual meeting of stockholders and until their respective successors are duly elected and qualified: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6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148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99"/>
              </w:rPr>
              <w:t>For</w:t>
            </w:r>
          </w:p>
        </w:tc>
        <w:tc>
          <w:tcPr>
            <w:tcW w:w="146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Against</w:t>
            </w:r>
          </w:p>
        </w:tc>
        <w:tc>
          <w:tcPr>
            <w:tcW w:w="14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9"/>
              </w:rPr>
              <w:t>Abstain</w:t>
            </w: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89"/>
              </w:rPr>
              <w:t>Broker Non-Votes</w:t>
            </w:r>
          </w:p>
        </w:tc>
      </w:tr>
      <w:tr>
        <w:trPr>
          <w:trHeight w:val="23"/>
        </w:trPr>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537"/>
        </w:trPr>
        <w:tc>
          <w:tcPr>
            <w:tcW w:w="2060" w:type="dxa"/>
            <w:vAlign w:val="bottom"/>
            <w:gridSpan w:val="2"/>
          </w:tcPr>
          <w:p>
            <w:pPr>
              <w:ind w:left="40"/>
              <w:spacing w:after="0"/>
              <w:rPr>
                <w:sz w:val="20"/>
                <w:szCs w:val="20"/>
                <w:color w:val="auto"/>
              </w:rPr>
            </w:pPr>
            <w:r>
              <w:rPr>
                <w:rFonts w:ascii="Arial" w:cs="Arial" w:eastAsia="Arial" w:hAnsi="Arial"/>
                <w:sz w:val="20"/>
                <w:szCs w:val="20"/>
                <w:color w:val="auto"/>
              </w:rPr>
              <w:t>William W. McCarten</w:t>
            </w: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181,860,828</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6,006,581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86,565</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2,148,997</w:t>
            </w:r>
          </w:p>
        </w:tc>
      </w:tr>
      <w:tr>
        <w:trPr>
          <w:trHeight w:val="284"/>
        </w:trPr>
        <w:tc>
          <w:tcPr>
            <w:tcW w:w="2060" w:type="dxa"/>
            <w:vAlign w:val="bottom"/>
            <w:gridSpan w:val="2"/>
          </w:tcPr>
          <w:p>
            <w:pPr>
              <w:ind w:left="40"/>
              <w:spacing w:after="0"/>
              <w:rPr>
                <w:sz w:val="20"/>
                <w:szCs w:val="20"/>
                <w:color w:val="auto"/>
              </w:rPr>
            </w:pPr>
            <w:r>
              <w:rPr>
                <w:rFonts w:ascii="Arial" w:cs="Arial" w:eastAsia="Arial" w:hAnsi="Arial"/>
                <w:sz w:val="20"/>
                <w:szCs w:val="20"/>
                <w:color w:val="auto"/>
              </w:rPr>
              <w:t>Mark W. Brugger</w:t>
            </w: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184,195,012</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3,672,525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86,437</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2,148,997</w:t>
            </w:r>
          </w:p>
        </w:tc>
      </w:tr>
      <w:tr>
        <w:trPr>
          <w:trHeight w:val="283"/>
        </w:trPr>
        <w:tc>
          <w:tcPr>
            <w:tcW w:w="2060" w:type="dxa"/>
            <w:vAlign w:val="bottom"/>
            <w:gridSpan w:val="2"/>
          </w:tcPr>
          <w:p>
            <w:pPr>
              <w:ind w:left="40"/>
              <w:spacing w:after="0"/>
              <w:rPr>
                <w:sz w:val="20"/>
                <w:szCs w:val="20"/>
                <w:color w:val="auto"/>
              </w:rPr>
            </w:pPr>
            <w:r>
              <w:rPr>
                <w:rFonts w:ascii="Arial" w:cs="Arial" w:eastAsia="Arial" w:hAnsi="Arial"/>
                <w:sz w:val="20"/>
                <w:szCs w:val="20"/>
                <w:color w:val="auto"/>
              </w:rPr>
              <w:t>Timothy R. Chi</w:t>
            </w: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186,360,849</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1,497,820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95,305</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2,148,997</w:t>
            </w:r>
          </w:p>
        </w:tc>
      </w:tr>
      <w:tr>
        <w:trPr>
          <w:trHeight w:val="283"/>
        </w:trPr>
        <w:tc>
          <w:tcPr>
            <w:tcW w:w="2060" w:type="dxa"/>
            <w:vAlign w:val="bottom"/>
            <w:gridSpan w:val="2"/>
          </w:tcPr>
          <w:p>
            <w:pPr>
              <w:ind w:left="40"/>
              <w:spacing w:after="0"/>
              <w:rPr>
                <w:sz w:val="20"/>
                <w:szCs w:val="20"/>
                <w:color w:val="auto"/>
              </w:rPr>
            </w:pPr>
            <w:r>
              <w:rPr>
                <w:rFonts w:ascii="Arial" w:cs="Arial" w:eastAsia="Arial" w:hAnsi="Arial"/>
                <w:sz w:val="20"/>
                <w:szCs w:val="20"/>
                <w:color w:val="auto"/>
              </w:rPr>
              <w:t>Maureen L. McAvey</w:t>
            </w: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182,204,152</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5,705,467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44,355</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2,148,997</w:t>
            </w:r>
          </w:p>
        </w:tc>
      </w:tr>
      <w:tr>
        <w:trPr>
          <w:trHeight w:val="284"/>
        </w:trPr>
        <w:tc>
          <w:tcPr>
            <w:tcW w:w="2060" w:type="dxa"/>
            <w:vAlign w:val="bottom"/>
            <w:gridSpan w:val="2"/>
          </w:tcPr>
          <w:p>
            <w:pPr>
              <w:ind w:left="40"/>
              <w:spacing w:after="0"/>
              <w:rPr>
                <w:sz w:val="20"/>
                <w:szCs w:val="20"/>
                <w:color w:val="auto"/>
              </w:rPr>
            </w:pPr>
            <w:r>
              <w:rPr>
                <w:rFonts w:ascii="Arial" w:cs="Arial" w:eastAsia="Arial" w:hAnsi="Arial"/>
                <w:sz w:val="20"/>
                <w:szCs w:val="20"/>
                <w:color w:val="auto"/>
              </w:rPr>
              <w:t>Gilbert T. Ray</w:t>
            </w: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181,171,893</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6,686,043</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96,038</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2,148,997</w:t>
            </w:r>
          </w:p>
        </w:tc>
      </w:tr>
      <w:tr>
        <w:trPr>
          <w:trHeight w:val="283"/>
        </w:trPr>
        <w:tc>
          <w:tcPr>
            <w:tcW w:w="2060" w:type="dxa"/>
            <w:vAlign w:val="bottom"/>
            <w:gridSpan w:val="2"/>
          </w:tcPr>
          <w:p>
            <w:pPr>
              <w:ind w:left="40"/>
              <w:spacing w:after="0"/>
              <w:rPr>
                <w:sz w:val="20"/>
                <w:szCs w:val="20"/>
                <w:color w:val="auto"/>
              </w:rPr>
            </w:pPr>
            <w:r>
              <w:rPr>
                <w:rFonts w:ascii="Arial" w:cs="Arial" w:eastAsia="Arial" w:hAnsi="Arial"/>
                <w:sz w:val="20"/>
                <w:szCs w:val="20"/>
                <w:color w:val="auto"/>
              </w:rPr>
              <w:t>William J. Shaw</w:t>
            </w: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186,334,219</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1,523,717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96,038</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2,148,997</w:t>
            </w:r>
          </w:p>
        </w:tc>
      </w:tr>
      <w:tr>
        <w:trPr>
          <w:trHeight w:val="283"/>
        </w:trPr>
        <w:tc>
          <w:tcPr>
            <w:tcW w:w="2060" w:type="dxa"/>
            <w:vAlign w:val="bottom"/>
            <w:gridSpan w:val="2"/>
          </w:tcPr>
          <w:p>
            <w:pPr>
              <w:ind w:left="40"/>
              <w:spacing w:after="0"/>
              <w:rPr>
                <w:sz w:val="20"/>
                <w:szCs w:val="20"/>
                <w:color w:val="auto"/>
              </w:rPr>
            </w:pPr>
            <w:r>
              <w:rPr>
                <w:rFonts w:ascii="Arial" w:cs="Arial" w:eastAsia="Arial" w:hAnsi="Arial"/>
                <w:sz w:val="20"/>
                <w:szCs w:val="20"/>
                <w:color w:val="auto"/>
              </w:rPr>
              <w:t>Bruce D. Wardinski</w:t>
            </w: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186,067,268</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1,790,540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96,166</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2,148,997</w:t>
            </w:r>
          </w:p>
        </w:tc>
      </w:tr>
      <w:tr>
        <w:trPr>
          <w:trHeight w:val="284"/>
        </w:trPr>
        <w:tc>
          <w:tcPr>
            <w:tcW w:w="2060" w:type="dxa"/>
            <w:vAlign w:val="bottom"/>
            <w:gridSpan w:val="2"/>
          </w:tcPr>
          <w:p>
            <w:pPr>
              <w:ind w:left="40"/>
              <w:spacing w:after="0"/>
              <w:rPr>
                <w:sz w:val="20"/>
                <w:szCs w:val="20"/>
                <w:color w:val="auto"/>
              </w:rPr>
            </w:pPr>
            <w:r>
              <w:rPr>
                <w:rFonts w:ascii="Arial" w:cs="Arial" w:eastAsia="Arial" w:hAnsi="Arial"/>
                <w:sz w:val="20"/>
                <w:szCs w:val="20"/>
                <w:color w:val="auto"/>
              </w:rPr>
              <w:t>Kathleen A. Wayton</w:t>
            </w: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183,515,707</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4,393,887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44,380</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2,148,997</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2. The Company’s stockholders approved, on a non-binding, advisory basis, the compensation of the Company’s named executive officers.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8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2"/>
              </w:rPr>
              <w:t>For</w:t>
            </w:r>
          </w:p>
        </w:tc>
        <w:tc>
          <w:tcPr>
            <w:tcW w:w="20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9"/>
              </w:rPr>
              <w:t>Against</w:t>
            </w:r>
          </w:p>
        </w:tc>
        <w:tc>
          <w:tcPr>
            <w:tcW w:w="20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9"/>
              </w:rPr>
              <w:t>Abstain</w:t>
            </w: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89"/>
              </w:rPr>
              <w:t>Broker Non-Votes</w:t>
            </w:r>
          </w:p>
        </w:tc>
      </w:tr>
      <w:tr>
        <w:trPr>
          <w:trHeight w:val="23"/>
        </w:trPr>
        <w:tc>
          <w:tcPr>
            <w:tcW w:w="1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4"/>
        </w:trPr>
        <w:tc>
          <w:tcPr>
            <w:tcW w:w="1800" w:type="dxa"/>
            <w:vAlign w:val="bottom"/>
          </w:tcPr>
          <w:p>
            <w:pPr>
              <w:jc w:val="right"/>
              <w:ind w:right="301"/>
              <w:spacing w:after="0"/>
              <w:rPr>
                <w:sz w:val="20"/>
                <w:szCs w:val="20"/>
                <w:color w:val="auto"/>
              </w:rPr>
            </w:pPr>
            <w:r>
              <w:rPr>
                <w:rFonts w:ascii="Arial" w:cs="Arial" w:eastAsia="Arial" w:hAnsi="Arial"/>
                <w:sz w:val="20"/>
                <w:szCs w:val="20"/>
                <w:color w:val="auto"/>
              </w:rPr>
              <w:t>181,837,783</w:t>
            </w:r>
          </w:p>
        </w:tc>
        <w:tc>
          <w:tcPr>
            <w:tcW w:w="280" w:type="dxa"/>
            <w:vAlign w:val="bottom"/>
          </w:tcPr>
          <w:p>
            <w:pPr>
              <w:spacing w:after="0"/>
              <w:rPr>
                <w:sz w:val="22"/>
                <w:szCs w:val="22"/>
                <w:color w:val="auto"/>
              </w:rPr>
            </w:pPr>
          </w:p>
        </w:tc>
        <w:tc>
          <w:tcPr>
            <w:tcW w:w="1780" w:type="dxa"/>
            <w:vAlign w:val="bottom"/>
          </w:tcPr>
          <w:p>
            <w:pPr>
              <w:jc w:val="right"/>
              <w:ind w:right="401"/>
              <w:spacing w:after="0"/>
              <w:rPr>
                <w:sz w:val="20"/>
                <w:szCs w:val="20"/>
                <w:color w:val="auto"/>
              </w:rPr>
            </w:pPr>
            <w:r>
              <w:rPr>
                <w:rFonts w:ascii="Arial" w:cs="Arial" w:eastAsia="Arial" w:hAnsi="Arial"/>
                <w:sz w:val="20"/>
                <w:szCs w:val="20"/>
                <w:color w:val="auto"/>
              </w:rPr>
              <w:t>6,087,481</w:t>
            </w:r>
          </w:p>
        </w:tc>
        <w:tc>
          <w:tcPr>
            <w:tcW w:w="280" w:type="dxa"/>
            <w:vAlign w:val="bottom"/>
          </w:tcPr>
          <w:p>
            <w:pPr>
              <w:spacing w:after="0"/>
              <w:rPr>
                <w:sz w:val="22"/>
                <w:szCs w:val="22"/>
                <w:color w:val="auto"/>
              </w:rPr>
            </w:pPr>
          </w:p>
        </w:tc>
        <w:tc>
          <w:tcPr>
            <w:tcW w:w="1800" w:type="dxa"/>
            <w:vAlign w:val="bottom"/>
          </w:tcPr>
          <w:p>
            <w:pPr>
              <w:jc w:val="right"/>
              <w:ind w:right="541"/>
              <w:spacing w:after="0"/>
              <w:rPr>
                <w:sz w:val="20"/>
                <w:szCs w:val="20"/>
                <w:color w:val="auto"/>
              </w:rPr>
            </w:pPr>
            <w:r>
              <w:rPr>
                <w:rFonts w:ascii="Arial" w:cs="Arial" w:eastAsia="Arial" w:hAnsi="Arial"/>
                <w:sz w:val="20"/>
                <w:szCs w:val="20"/>
                <w:color w:val="auto"/>
              </w:rPr>
              <w:t>28,710</w:t>
            </w:r>
          </w:p>
        </w:tc>
        <w:tc>
          <w:tcPr>
            <w:tcW w:w="260" w:type="dxa"/>
            <w:vAlign w:val="bottom"/>
          </w:tcPr>
          <w:p>
            <w:pPr>
              <w:spacing w:after="0"/>
              <w:rPr>
                <w:sz w:val="22"/>
                <w:szCs w:val="22"/>
                <w:color w:val="auto"/>
              </w:rPr>
            </w:pPr>
          </w:p>
        </w:tc>
        <w:tc>
          <w:tcPr>
            <w:tcW w:w="1980" w:type="dxa"/>
            <w:vAlign w:val="bottom"/>
          </w:tcPr>
          <w:p>
            <w:pPr>
              <w:jc w:val="right"/>
              <w:ind w:right="481"/>
              <w:spacing w:after="0"/>
              <w:rPr>
                <w:sz w:val="20"/>
                <w:szCs w:val="20"/>
                <w:color w:val="auto"/>
              </w:rPr>
            </w:pPr>
            <w:r>
              <w:rPr>
                <w:rFonts w:ascii="Arial" w:cs="Arial" w:eastAsia="Arial" w:hAnsi="Arial"/>
                <w:sz w:val="20"/>
                <w:szCs w:val="20"/>
                <w:color w:val="auto"/>
              </w:rPr>
              <w:t>2,148,997</w:t>
            </w:r>
          </w:p>
        </w:tc>
      </w:tr>
    </w:tbl>
    <w:p>
      <w:pPr>
        <w:sectPr>
          <w:pgSz w:w="11900" w:h="16838" w:orient="portrait"/>
          <w:cols w:equalWidth="0" w:num="1">
            <w:col w:w="11240"/>
          </w:cols>
          <w:pgMar w:left="320" w:top="555" w:right="339" w:bottom="1440" w:gutter="0" w:footer="0" w:header="0"/>
        </w:sectPr>
      </w:pPr>
    </w:p>
    <w:bookmarkStart w:id="2" w:name="page3"/>
    <w:bookmarkEnd w:id="2"/>
    <w:p>
      <w:pPr>
        <w:ind w:left="260" w:hanging="252"/>
        <w:spacing w:after="0" w:line="260" w:lineRule="auto"/>
        <w:tabs>
          <w:tab w:leader="none" w:pos="215"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Company’s stockholders ratified the appointment of KPMG LLP as the Company’s independent auditor for the fiscal year ending December 31, 2020.</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8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2"/>
              </w:rPr>
              <w:t>For</w:t>
            </w:r>
          </w:p>
        </w:tc>
        <w:tc>
          <w:tcPr>
            <w:tcW w:w="224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Against</w:t>
            </w:r>
          </w:p>
        </w:tc>
        <w:tc>
          <w:tcPr>
            <w:tcW w:w="1800" w:type="dxa"/>
            <w:vAlign w:val="bottom"/>
          </w:tcPr>
          <w:p>
            <w:pPr>
              <w:ind w:left="560"/>
              <w:spacing w:after="0"/>
              <w:rPr>
                <w:sz w:val="20"/>
                <w:szCs w:val="20"/>
                <w:color w:val="auto"/>
              </w:rPr>
            </w:pPr>
            <w:r>
              <w:rPr>
                <w:rFonts w:ascii="Arial" w:cs="Arial" w:eastAsia="Arial" w:hAnsi="Arial"/>
                <w:sz w:val="20"/>
                <w:szCs w:val="20"/>
                <w:b w:val="1"/>
                <w:bCs w:val="1"/>
                <w:color w:val="auto"/>
              </w:rPr>
              <w:t>Abstain</w:t>
            </w:r>
          </w:p>
        </w:tc>
      </w:tr>
      <w:tr>
        <w:trPr>
          <w:trHeight w:val="23"/>
        </w:trPr>
        <w:tc>
          <w:tcPr>
            <w:tcW w:w="1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4"/>
        </w:trPr>
        <w:tc>
          <w:tcPr>
            <w:tcW w:w="1800" w:type="dxa"/>
            <w:vAlign w:val="bottom"/>
          </w:tcPr>
          <w:p>
            <w:pPr>
              <w:jc w:val="right"/>
              <w:ind w:right="301"/>
              <w:spacing w:after="0"/>
              <w:rPr>
                <w:sz w:val="20"/>
                <w:szCs w:val="20"/>
                <w:color w:val="auto"/>
              </w:rPr>
            </w:pPr>
            <w:r>
              <w:rPr>
                <w:rFonts w:ascii="Arial" w:cs="Arial" w:eastAsia="Arial" w:hAnsi="Arial"/>
                <w:sz w:val="20"/>
                <w:szCs w:val="20"/>
                <w:color w:val="auto"/>
              </w:rPr>
              <w:t>186,546,433</w:t>
            </w:r>
          </w:p>
        </w:tc>
        <w:tc>
          <w:tcPr>
            <w:tcW w:w="280" w:type="dxa"/>
            <w:vAlign w:val="bottom"/>
          </w:tcPr>
          <w:p>
            <w:pPr>
              <w:spacing w:after="0"/>
              <w:rPr>
                <w:sz w:val="22"/>
                <w:szCs w:val="22"/>
                <w:color w:val="auto"/>
              </w:rPr>
            </w:pPr>
          </w:p>
        </w:tc>
        <w:tc>
          <w:tcPr>
            <w:tcW w:w="1960" w:type="dxa"/>
            <w:vAlign w:val="bottom"/>
          </w:tcPr>
          <w:p>
            <w:pPr>
              <w:jc w:val="right"/>
              <w:ind w:right="481"/>
              <w:spacing w:after="0"/>
              <w:rPr>
                <w:sz w:val="20"/>
                <w:szCs w:val="20"/>
                <w:color w:val="auto"/>
              </w:rPr>
            </w:pPr>
            <w:r>
              <w:rPr>
                <w:rFonts w:ascii="Arial" w:cs="Arial" w:eastAsia="Arial" w:hAnsi="Arial"/>
                <w:sz w:val="20"/>
                <w:szCs w:val="20"/>
                <w:color w:val="auto"/>
              </w:rPr>
              <w:t>2,912,095</w:t>
            </w:r>
          </w:p>
        </w:tc>
        <w:tc>
          <w:tcPr>
            <w:tcW w:w="280" w:type="dxa"/>
            <w:vAlign w:val="bottom"/>
          </w:tcPr>
          <w:p>
            <w:pPr>
              <w:spacing w:after="0"/>
              <w:rPr>
                <w:sz w:val="22"/>
                <w:szCs w:val="22"/>
                <w:color w:val="auto"/>
              </w:rPr>
            </w:pPr>
          </w:p>
        </w:tc>
        <w:tc>
          <w:tcPr>
            <w:tcW w:w="1800" w:type="dxa"/>
            <w:vAlign w:val="bottom"/>
          </w:tcPr>
          <w:p>
            <w:pPr>
              <w:ind w:left="580"/>
              <w:spacing w:after="0"/>
              <w:rPr>
                <w:sz w:val="20"/>
                <w:szCs w:val="20"/>
                <w:color w:val="auto"/>
              </w:rPr>
            </w:pPr>
            <w:r>
              <w:rPr>
                <w:rFonts w:ascii="Arial" w:cs="Arial" w:eastAsia="Arial" w:hAnsi="Arial"/>
                <w:sz w:val="20"/>
                <w:szCs w:val="20"/>
                <w:color w:val="auto"/>
              </w:rPr>
              <w:t>644,443</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auto"/>
        </w:rPr>
        <w:t>(d) Exhibits.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exhibits are included with this report:</w:t>
      </w: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Exhibit No.</w:t>
            </w:r>
          </w:p>
        </w:tc>
        <w:tc>
          <w:tcPr>
            <w:tcW w:w="17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Description</w:t>
            </w:r>
          </w:p>
        </w:tc>
        <w:tc>
          <w:tcPr>
            <w:tcW w:w="4520" w:type="dxa"/>
            <w:vAlign w:val="bottom"/>
          </w:tcPr>
          <w:p>
            <w:pPr>
              <w:spacing w:after="0"/>
              <w:rPr>
                <w:sz w:val="19"/>
                <w:szCs w:val="19"/>
                <w:color w:val="auto"/>
              </w:rPr>
            </w:pPr>
          </w:p>
        </w:tc>
      </w:tr>
      <w:tr>
        <w:trPr>
          <w:trHeight w:val="632"/>
        </w:trPr>
        <w:tc>
          <w:tcPr>
            <w:tcW w:w="920" w:type="dxa"/>
            <w:vAlign w:val="bottom"/>
          </w:tcPr>
          <w:p>
            <w:pPr>
              <w:spacing w:after="0"/>
              <w:rPr>
                <w:sz w:val="20"/>
                <w:szCs w:val="20"/>
                <w:color w:val="auto"/>
              </w:rPr>
            </w:pPr>
            <w:r>
              <w:rPr>
                <w:rFonts w:ascii="Arial" w:cs="Arial" w:eastAsia="Arial" w:hAnsi="Arial"/>
                <w:sz w:val="20"/>
                <w:szCs w:val="20"/>
                <w:color w:val="auto"/>
              </w:rPr>
              <w:t>99.1</w:t>
            </w:r>
          </w:p>
        </w:tc>
        <w:tc>
          <w:tcPr>
            <w:tcW w:w="1780" w:type="dxa"/>
            <w:vAlign w:val="bottom"/>
          </w:tcPr>
          <w:p>
            <w:pPr>
              <w:spacing w:after="0"/>
              <w:rPr>
                <w:sz w:val="24"/>
                <w:szCs w:val="24"/>
                <w:color w:val="auto"/>
              </w:rPr>
            </w:pPr>
          </w:p>
        </w:tc>
        <w:tc>
          <w:tcPr>
            <w:tcW w:w="5440" w:type="dxa"/>
            <w:vAlign w:val="bottom"/>
            <w:gridSpan w:val="2"/>
          </w:tcPr>
          <w:p>
            <w:pPr>
              <w:spacing w:after="0"/>
              <w:rPr>
                <w:rFonts w:ascii="Arial" w:cs="Arial" w:eastAsia="Arial" w:hAnsi="Arial"/>
                <w:sz w:val="20"/>
                <w:szCs w:val="20"/>
                <w:u w:val="single" w:color="auto"/>
                <w:color w:val="0000FF"/>
              </w:rPr>
            </w:pPr>
            <w:hyperlink w:anchor="page5">
              <w:r>
                <w:rPr>
                  <w:rFonts w:ascii="Arial" w:cs="Arial" w:eastAsia="Arial" w:hAnsi="Arial"/>
                  <w:sz w:val="20"/>
                  <w:szCs w:val="20"/>
                  <w:u w:val="single" w:color="auto"/>
                  <w:color w:val="0000FF"/>
                </w:rPr>
                <w:t>Press Release, dated May 11, 2020</w:t>
              </w:r>
            </w:hyperlink>
          </w:p>
        </w:tc>
      </w:tr>
      <w:tr>
        <w:trPr>
          <w:trHeight w:val="283"/>
        </w:trPr>
        <w:tc>
          <w:tcPr>
            <w:tcW w:w="2700" w:type="dxa"/>
            <w:vAlign w:val="bottom"/>
            <w:gridSpan w:val="2"/>
          </w:tcPr>
          <w:p>
            <w:pPr>
              <w:spacing w:after="0"/>
              <w:rPr>
                <w:sz w:val="20"/>
                <w:szCs w:val="20"/>
                <w:color w:val="auto"/>
              </w:rPr>
            </w:pPr>
            <w:r>
              <w:rPr>
                <w:rFonts w:ascii="Arial" w:cs="Arial" w:eastAsia="Arial" w:hAnsi="Arial"/>
                <w:sz w:val="20"/>
                <w:szCs w:val="20"/>
                <w:color w:val="auto"/>
              </w:rPr>
              <w:t>101.SCH</w:t>
            </w:r>
          </w:p>
        </w:tc>
        <w:tc>
          <w:tcPr>
            <w:tcW w:w="5440" w:type="dxa"/>
            <w:vAlign w:val="bottom"/>
            <w:gridSpan w:val="2"/>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284"/>
        </w:trPr>
        <w:tc>
          <w:tcPr>
            <w:tcW w:w="2700" w:type="dxa"/>
            <w:vAlign w:val="bottom"/>
            <w:gridSpan w:val="2"/>
          </w:tcPr>
          <w:p>
            <w:pPr>
              <w:spacing w:after="0"/>
              <w:rPr>
                <w:sz w:val="20"/>
                <w:szCs w:val="20"/>
                <w:color w:val="auto"/>
              </w:rPr>
            </w:pPr>
            <w:r>
              <w:rPr>
                <w:rFonts w:ascii="Arial" w:cs="Arial" w:eastAsia="Arial" w:hAnsi="Arial"/>
                <w:sz w:val="20"/>
                <w:szCs w:val="20"/>
                <w:color w:val="auto"/>
              </w:rPr>
              <w:t>101.CAL</w:t>
            </w:r>
          </w:p>
        </w:tc>
        <w:tc>
          <w:tcPr>
            <w:tcW w:w="5440" w:type="dxa"/>
            <w:vAlign w:val="bottom"/>
            <w:gridSpan w:val="2"/>
          </w:tcPr>
          <w:p>
            <w:pPr>
              <w:spacing w:after="0"/>
              <w:rPr>
                <w:sz w:val="20"/>
                <w:szCs w:val="20"/>
                <w:color w:val="auto"/>
              </w:rPr>
            </w:pPr>
            <w:r>
              <w:rPr>
                <w:rFonts w:ascii="Arial" w:cs="Arial" w:eastAsia="Arial" w:hAnsi="Arial"/>
                <w:sz w:val="20"/>
                <w:szCs w:val="20"/>
                <w:color w:val="auto"/>
                <w:w w:val="92"/>
              </w:rPr>
              <w:t>Inline XBRL Taxonomy Extension Calculation Linkbase Document</w:t>
            </w:r>
          </w:p>
        </w:tc>
      </w:tr>
      <w:tr>
        <w:trPr>
          <w:trHeight w:val="283"/>
        </w:trPr>
        <w:tc>
          <w:tcPr>
            <w:tcW w:w="2700" w:type="dxa"/>
            <w:vAlign w:val="bottom"/>
            <w:gridSpan w:val="2"/>
          </w:tcPr>
          <w:p>
            <w:pPr>
              <w:spacing w:after="0"/>
              <w:rPr>
                <w:sz w:val="20"/>
                <w:szCs w:val="20"/>
                <w:color w:val="auto"/>
              </w:rPr>
            </w:pPr>
            <w:r>
              <w:rPr>
                <w:rFonts w:ascii="Arial" w:cs="Arial" w:eastAsia="Arial" w:hAnsi="Arial"/>
                <w:sz w:val="20"/>
                <w:szCs w:val="20"/>
                <w:color w:val="auto"/>
              </w:rPr>
              <w:t>101.DEF</w:t>
            </w:r>
          </w:p>
        </w:tc>
        <w:tc>
          <w:tcPr>
            <w:tcW w:w="5440" w:type="dxa"/>
            <w:vAlign w:val="bottom"/>
            <w:gridSpan w:val="2"/>
          </w:tcPr>
          <w:p>
            <w:pPr>
              <w:spacing w:after="0"/>
              <w:rPr>
                <w:sz w:val="20"/>
                <w:szCs w:val="20"/>
                <w:color w:val="auto"/>
              </w:rPr>
            </w:pPr>
            <w:r>
              <w:rPr>
                <w:rFonts w:ascii="Arial" w:cs="Arial" w:eastAsia="Arial" w:hAnsi="Arial"/>
                <w:sz w:val="20"/>
                <w:szCs w:val="20"/>
                <w:color w:val="auto"/>
                <w:w w:val="95"/>
              </w:rPr>
              <w:t>Inline XBRL Taxonomy Extension Definition Linkbase Document</w:t>
            </w:r>
          </w:p>
        </w:tc>
      </w:tr>
      <w:tr>
        <w:trPr>
          <w:trHeight w:val="283"/>
        </w:trPr>
        <w:tc>
          <w:tcPr>
            <w:tcW w:w="2700" w:type="dxa"/>
            <w:vAlign w:val="bottom"/>
            <w:gridSpan w:val="2"/>
          </w:tcPr>
          <w:p>
            <w:pPr>
              <w:spacing w:after="0"/>
              <w:rPr>
                <w:sz w:val="20"/>
                <w:szCs w:val="20"/>
                <w:color w:val="auto"/>
              </w:rPr>
            </w:pPr>
            <w:r>
              <w:rPr>
                <w:rFonts w:ascii="Arial" w:cs="Arial" w:eastAsia="Arial" w:hAnsi="Arial"/>
                <w:sz w:val="20"/>
                <w:szCs w:val="20"/>
                <w:color w:val="auto"/>
              </w:rPr>
              <w:t>101.LAB</w:t>
            </w:r>
          </w:p>
        </w:tc>
        <w:tc>
          <w:tcPr>
            <w:tcW w:w="5440" w:type="dxa"/>
            <w:vAlign w:val="bottom"/>
            <w:gridSpan w:val="2"/>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283"/>
        </w:trPr>
        <w:tc>
          <w:tcPr>
            <w:tcW w:w="2700" w:type="dxa"/>
            <w:vAlign w:val="bottom"/>
            <w:gridSpan w:val="2"/>
          </w:tcPr>
          <w:p>
            <w:pPr>
              <w:spacing w:after="0"/>
              <w:rPr>
                <w:sz w:val="20"/>
                <w:szCs w:val="20"/>
                <w:color w:val="auto"/>
              </w:rPr>
            </w:pPr>
            <w:r>
              <w:rPr>
                <w:rFonts w:ascii="Arial" w:cs="Arial" w:eastAsia="Arial" w:hAnsi="Arial"/>
                <w:sz w:val="20"/>
                <w:szCs w:val="20"/>
                <w:color w:val="auto"/>
              </w:rPr>
              <w:t>101.PRE</w:t>
            </w:r>
          </w:p>
        </w:tc>
        <w:tc>
          <w:tcPr>
            <w:tcW w:w="5440" w:type="dxa"/>
            <w:vAlign w:val="bottom"/>
            <w:gridSpan w:val="2"/>
          </w:tcPr>
          <w:p>
            <w:pPr>
              <w:spacing w:after="0"/>
              <w:rPr>
                <w:sz w:val="20"/>
                <w:szCs w:val="20"/>
                <w:color w:val="auto"/>
              </w:rPr>
            </w:pPr>
            <w:r>
              <w:rPr>
                <w:rFonts w:ascii="Arial" w:cs="Arial" w:eastAsia="Arial" w:hAnsi="Arial"/>
                <w:sz w:val="20"/>
                <w:szCs w:val="20"/>
                <w:color w:val="auto"/>
                <w:w w:val="90"/>
              </w:rPr>
              <w:t>Inline XBRL Taxonomy Extension Presentation Linkbase Document</w:t>
            </w:r>
          </w:p>
        </w:tc>
      </w:tr>
      <w:tr>
        <w:trPr>
          <w:trHeight w:val="283"/>
        </w:trPr>
        <w:tc>
          <w:tcPr>
            <w:tcW w:w="920" w:type="dxa"/>
            <w:vAlign w:val="bottom"/>
          </w:tcPr>
          <w:p>
            <w:pPr>
              <w:spacing w:after="0"/>
              <w:rPr>
                <w:sz w:val="20"/>
                <w:szCs w:val="20"/>
                <w:color w:val="auto"/>
              </w:rPr>
            </w:pPr>
            <w:r>
              <w:rPr>
                <w:rFonts w:ascii="Arial" w:cs="Arial" w:eastAsia="Arial" w:hAnsi="Arial"/>
                <w:sz w:val="20"/>
                <w:szCs w:val="20"/>
                <w:color w:val="auto"/>
              </w:rPr>
              <w:t>104</w:t>
            </w:r>
          </w:p>
        </w:tc>
        <w:tc>
          <w:tcPr>
            <w:tcW w:w="178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Arial" w:cs="Arial" w:eastAsia="Arial" w:hAnsi="Arial"/>
                <w:sz w:val="20"/>
                <w:szCs w:val="20"/>
                <w:color w:val="auto"/>
              </w:rPr>
              <w:t>Cover Page Interactive Data File</w:t>
            </w:r>
          </w:p>
        </w:tc>
      </w:tr>
    </w:tbl>
    <w:p>
      <w:pPr>
        <w:sectPr>
          <w:pgSz w:w="11900" w:h="16838" w:orient="portrait"/>
          <w:cols w:equalWidth="0" w:num="1">
            <w:col w:w="10820"/>
          </w:cols>
          <w:pgMar w:left="320" w:top="555" w:right="75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9"/>
          <w:szCs w:val="19"/>
          <w:b w:val="1"/>
          <w:bCs w:val="1"/>
          <w:color w:val="auto"/>
        </w:rPr>
        <w:t>IGNATURE</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DIAMONDROCK HOSPITALITY COMPANY</w:t>
      </w:r>
    </w:p>
    <w:p>
      <w:pPr>
        <w:spacing w:after="0" w:line="378" w:lineRule="exact"/>
        <w:rPr>
          <w:sz w:val="20"/>
          <w:szCs w:val="20"/>
          <w:color w:val="auto"/>
        </w:rPr>
      </w:pPr>
    </w:p>
    <w:p>
      <w:pPr>
        <w:ind w:left="40"/>
        <w:spacing w:after="0"/>
        <w:tabs>
          <w:tab w:leader="none" w:pos="6660" w:val="left"/>
          <w:tab w:leader="none" w:pos="7220" w:val="left"/>
        </w:tabs>
        <w:rPr>
          <w:sz w:val="20"/>
          <w:szCs w:val="20"/>
          <w:color w:val="auto"/>
        </w:rPr>
      </w:pPr>
      <w:r>
        <w:rPr>
          <w:rFonts w:ascii="Arial" w:cs="Arial" w:eastAsia="Arial" w:hAnsi="Arial"/>
          <w:sz w:val="20"/>
          <w:szCs w:val="20"/>
          <w:color w:val="auto"/>
        </w:rPr>
        <w:t>Date: May 11,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Briony R.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27305</wp:posOffset>
            </wp:positionV>
            <wp:extent cx="2562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7"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Briony R. Quinn</w:t>
      </w:r>
    </w:p>
    <w:p>
      <w:pPr>
        <w:spacing w:after="0" w:line="54"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Senior Vice President and Treasurer</w:t>
      </w:r>
    </w:p>
    <w:p>
      <w:pPr>
        <w:sectPr>
          <w:pgSz w:w="11900" w:h="16838" w:orient="portrait"/>
          <w:cols w:equalWidth="0" w:num="1">
            <w:col w:w="11020"/>
          </w:cols>
          <w:pgMar w:left="320" w:top="549" w:right="5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2728595</wp:posOffset>
            </wp:positionH>
            <wp:positionV relativeFrom="page">
              <wp:posOffset>226060</wp:posOffset>
            </wp:positionV>
            <wp:extent cx="2099945" cy="87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7439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COMPANY CONTACTS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Jeff Donnelly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(240) 744-1190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Briony Quinn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(240) 744-1196</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DIAMONDROCK HOSPITALITY COMPANY REPORTS FIRST QUARTER RESULTS</w:t>
      </w:r>
    </w:p>
    <w:p>
      <w:pPr>
        <w:spacing w:after="0" w:line="337"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 xml:space="preserve">BETHESDA, Maryland, Monday, May 11, 2020 – </w:t>
      </w:r>
      <w:r>
        <w:rPr>
          <w:rFonts w:ascii="Arial" w:cs="Arial" w:eastAsia="Arial" w:hAnsi="Arial"/>
          <w:sz w:val="20"/>
          <w:szCs w:val="20"/>
          <w:color w:val="auto"/>
        </w:rPr>
        <w:t>DiamondRock Hospitality Company (the “Company”) (NYSE: DRH), a lodging-focused real estate investment trust that owns a portfolio of 31 premium hotels in the United States, today announced results of operations for the quarter ended March 31, 2020.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2020 Highlights:</w:t>
      </w:r>
    </w:p>
    <w:p>
      <w:pPr>
        <w:spacing w:after="0" w:line="108" w:lineRule="exact"/>
        <w:rPr>
          <w:sz w:val="20"/>
          <w:szCs w:val="20"/>
          <w:color w:val="auto"/>
        </w:rPr>
      </w:pPr>
    </w:p>
    <w:p>
      <w:pPr>
        <w:ind w:left="560" w:hanging="309"/>
        <w:spacing w:after="0"/>
        <w:tabs>
          <w:tab w:leader="none" w:pos="5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Net Loss</w:t>
      </w:r>
      <w:r>
        <w:rPr>
          <w:rFonts w:ascii="Arial" w:cs="Arial" w:eastAsia="Arial" w:hAnsi="Arial"/>
          <w:sz w:val="20"/>
          <w:szCs w:val="20"/>
          <w:color w:val="auto"/>
        </w:rPr>
        <w:t>: Net loss was $34.7 million and loss per diluted share was $0.17.</w:t>
      </w:r>
    </w:p>
    <w:p>
      <w:pPr>
        <w:spacing w:after="0" w:line="107" w:lineRule="exact"/>
        <w:rPr>
          <w:rFonts w:ascii="Arial" w:cs="Arial" w:eastAsia="Arial" w:hAnsi="Arial"/>
          <w:sz w:val="20"/>
          <w:szCs w:val="20"/>
          <w:b w:val="1"/>
          <w:bCs w:val="1"/>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Comparable Revenues</w:t>
      </w:r>
      <w:r>
        <w:rPr>
          <w:rFonts w:ascii="Arial" w:cs="Arial" w:eastAsia="Arial" w:hAnsi="Arial"/>
          <w:sz w:val="20"/>
          <w:szCs w:val="20"/>
          <w:color w:val="auto"/>
        </w:rPr>
        <w:t>: Comparable total revenues decreased 16.0% from the comparable period of 2019.</w:t>
      </w:r>
    </w:p>
    <w:p>
      <w:pPr>
        <w:spacing w:after="0" w:line="107"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Comparable RevPAR</w:t>
      </w:r>
      <w:r>
        <w:rPr>
          <w:rFonts w:ascii="Arial" w:cs="Arial" w:eastAsia="Arial" w:hAnsi="Arial"/>
          <w:sz w:val="20"/>
          <w:szCs w:val="20"/>
          <w:color w:val="auto"/>
        </w:rPr>
        <w:t>: RevPAR was $127.98, a 19.2% decrease from the comparable period of 2019.</w:t>
      </w:r>
    </w:p>
    <w:p>
      <w:pPr>
        <w:spacing w:after="0" w:line="107" w:lineRule="exact"/>
        <w:rPr>
          <w:rFonts w:ascii="Arial" w:cs="Arial" w:eastAsia="Arial" w:hAnsi="Arial"/>
          <w:sz w:val="18"/>
          <w:szCs w:val="18"/>
          <w:color w:val="auto"/>
        </w:rPr>
      </w:pPr>
    </w:p>
    <w:p>
      <w:pPr>
        <w:ind w:left="580" w:right="160" w:hanging="329"/>
        <w:spacing w:after="0" w:line="267" w:lineRule="auto"/>
        <w:tabs>
          <w:tab w:leader="none" w:pos="562"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Comparable Hotel Adjusted EBITDA Margin</w:t>
      </w:r>
      <w:r>
        <w:rPr>
          <w:rFonts w:ascii="Arial" w:cs="Arial" w:eastAsia="Arial" w:hAnsi="Arial"/>
          <w:sz w:val="20"/>
          <w:szCs w:val="20"/>
          <w:color w:val="auto"/>
        </w:rPr>
        <w:t>: Hotel Adjusted EBITDA margin was 10.48%, a 1280 basis point contraction from</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comparable period of 2019.</w:t>
      </w:r>
    </w:p>
    <w:p>
      <w:pPr>
        <w:spacing w:after="0" w:line="55"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Adjusted EBITDA was $11.9 million, a decrease of $37.3 million from 2019.</w:t>
      </w:r>
    </w:p>
    <w:p>
      <w:pPr>
        <w:spacing w:after="0" w:line="107" w:lineRule="exact"/>
        <w:rPr>
          <w:rFonts w:ascii="Arial" w:cs="Arial" w:eastAsia="Arial" w:hAnsi="Arial"/>
          <w:sz w:val="20"/>
          <w:szCs w:val="20"/>
          <w:b w:val="1"/>
          <w:bCs w:val="1"/>
          <w:color w:val="auto"/>
        </w:rPr>
      </w:pPr>
    </w:p>
    <w:p>
      <w:pPr>
        <w:ind w:left="560" w:hanging="309"/>
        <w:spacing w:after="0"/>
        <w:tabs>
          <w:tab w:leader="none" w:pos="5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Adjusted FFO</w:t>
      </w:r>
      <w:r>
        <w:rPr>
          <w:rFonts w:ascii="Arial" w:cs="Arial" w:eastAsia="Arial" w:hAnsi="Arial"/>
          <w:sz w:val="20"/>
          <w:szCs w:val="20"/>
          <w:color w:val="auto"/>
        </w:rPr>
        <w:t>: Adjusted FFO was $8.4 million and Adjusted FFO per diluted share was $0.04.</w:t>
      </w:r>
    </w:p>
    <w:p>
      <w:pPr>
        <w:spacing w:after="0" w:line="107" w:lineRule="exact"/>
        <w:rPr>
          <w:rFonts w:ascii="Arial" w:cs="Arial" w:eastAsia="Arial" w:hAnsi="Arial"/>
          <w:sz w:val="20"/>
          <w:szCs w:val="20"/>
          <w:b w:val="1"/>
          <w:bCs w:val="1"/>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Cash Balance</w:t>
      </w:r>
      <w:r>
        <w:rPr>
          <w:rFonts w:ascii="Arial" w:cs="Arial" w:eastAsia="Arial" w:hAnsi="Arial"/>
          <w:sz w:val="20"/>
          <w:szCs w:val="20"/>
          <w:color w:val="auto"/>
        </w:rPr>
        <w:t>: As of March 31, 2020, the Company had unrestricted cash of $387.8 million.</w:t>
      </w:r>
    </w:p>
    <w:p>
      <w:pPr>
        <w:spacing w:after="0" w:line="330"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Mark W. Brugger, President and Chief Executive Officer of DiamondRock Hospitality Company stated, “COVID-19 has led to an almost complete pause in travel throughout the United States. The health and safety of our guests and associates is our first priority and we send our sincere condolences to those who have been impacted. While we expect the economy and travel demand will ultimately recover, the timing and shape of the recovery remains unclear. Accordingly, we moved quickly to enhance liquidity by building cash, reducing corporate expenses and suspending operations at two-thirds of our hotels. We remain focused on the future and have developed hotel reopening plans, while reassessing operating procedures to be able to safely and profitably welcome back hotel employees and guests when travel demand begins to slowly return in the coming months.”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Please see “Non-GAAP Financial Measures” attached to this press release for an explanation of the terms “EBITDAre,” “Adjusted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“Hotel Adjusted EBITDA Margin,” “FFO” and “Adjusted FFO” and a reconciliation of these measures to net income.</w:t>
      </w:r>
    </w:p>
    <w:p>
      <w:pPr>
        <w:spacing w:after="0"/>
        <w:rPr>
          <w:sz w:val="20"/>
          <w:szCs w:val="20"/>
          <w:color w:val="auto"/>
        </w:rPr>
      </w:pPr>
      <w:r>
        <w:rPr>
          <w:rFonts w:ascii="Arial" w:cs="Arial" w:eastAsia="Arial" w:hAnsi="Arial"/>
          <w:sz w:val="20"/>
          <w:szCs w:val="20"/>
          <w:i w:val="1"/>
          <w:iCs w:val="1"/>
          <w:color w:val="auto"/>
        </w:rPr>
        <w:t>Comparable operating results exclude Frenchman's Reef for all</w:t>
      </w:r>
    </w:p>
    <w:p>
      <w:pPr>
        <w:sectPr>
          <w:pgSz w:w="11900" w:h="16838" w:orient="portrait"/>
          <w:cols w:equalWidth="0" w:num="1">
            <w:col w:w="11220"/>
          </w:cols>
          <w:pgMar w:left="320" w:top="1440" w:right="359" w:bottom="1440" w:gutter="0" w:footer="0" w:header="0"/>
        </w:sectPr>
      </w:pPr>
    </w:p>
    <w:bookmarkStart w:id="5" w:name="page6"/>
    <w:bookmarkEnd w:id="5"/>
    <w:p>
      <w:pPr>
        <w:ind w:right="140"/>
        <w:spacing w:after="0" w:line="260" w:lineRule="auto"/>
        <w:rPr>
          <w:sz w:val="20"/>
          <w:szCs w:val="20"/>
          <w:color w:val="auto"/>
        </w:rPr>
      </w:pPr>
      <w:r>
        <w:rPr>
          <w:rFonts w:ascii="Arial" w:cs="Arial" w:eastAsia="Arial" w:hAnsi="Arial"/>
          <w:sz w:val="20"/>
          <w:szCs w:val="20"/>
          <w:i w:val="1"/>
          <w:iCs w:val="1"/>
          <w:color w:val="auto"/>
        </w:rPr>
        <w:t>periods presented due to the closure of the hotel. See “Reconciliation of Comparable Operating Results” attached to this press release for a reconciliation to historical amounts.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For the quarter ended March 31, 2020, the Company reported the following:</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5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00" w:type="dxa"/>
            <w:vAlign w:val="bottom"/>
            <w:gridSpan w:val="4"/>
          </w:tcPr>
          <w:p>
            <w:pPr>
              <w:jc w:val="right"/>
              <w:ind w:right="1200"/>
              <w:spacing w:after="0"/>
              <w:rPr>
                <w:sz w:val="20"/>
                <w:szCs w:val="20"/>
                <w:color w:val="auto"/>
              </w:rPr>
            </w:pPr>
            <w:r>
              <w:rPr>
                <w:rFonts w:ascii="Arial" w:cs="Arial" w:eastAsia="Arial" w:hAnsi="Arial"/>
                <w:sz w:val="20"/>
                <w:szCs w:val="20"/>
                <w:b w:val="1"/>
                <w:bCs w:val="1"/>
                <w:color w:val="auto"/>
              </w:rPr>
              <w:t>First Quarter</w:t>
            </w:r>
          </w:p>
        </w:tc>
        <w:tc>
          <w:tcPr>
            <w:tcW w:w="1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20"/>
                <w:szCs w:val="20"/>
                <w:b w:val="1"/>
                <w:bCs w:val="1"/>
                <w:color w:val="auto"/>
                <w:w w:val="87"/>
              </w:rPr>
              <w:t>Change</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1060" w:type="dxa"/>
            <w:vAlign w:val="bottom"/>
            <w:gridSpan w:val="2"/>
          </w:tcPr>
          <w:p>
            <w:pPr>
              <w:jc w:val="right"/>
              <w:spacing w:after="0" w:line="209" w:lineRule="exact"/>
              <w:rPr>
                <w:sz w:val="20"/>
                <w:szCs w:val="20"/>
                <w:color w:val="auto"/>
              </w:rPr>
            </w:pPr>
            <w:r>
              <w:rPr>
                <w:rFonts w:ascii="Arial" w:cs="Arial" w:eastAsia="Arial" w:hAnsi="Arial"/>
                <w:sz w:val="20"/>
                <w:szCs w:val="20"/>
                <w:b w:val="1"/>
                <w:bCs w:val="1"/>
                <w:color w:val="auto"/>
              </w:rPr>
              <w:t>2020</w:t>
            </w:r>
          </w:p>
        </w:tc>
        <w:tc>
          <w:tcPr>
            <w:tcW w:w="880" w:type="dxa"/>
            <w:vAlign w:val="bottom"/>
          </w:tcPr>
          <w:p>
            <w:pPr>
              <w:spacing w:after="0"/>
              <w:rPr>
                <w:sz w:val="18"/>
                <w:szCs w:val="18"/>
                <w:color w:val="auto"/>
              </w:rPr>
            </w:pPr>
          </w:p>
        </w:tc>
        <w:tc>
          <w:tcPr>
            <w:tcW w:w="960" w:type="dxa"/>
            <w:vAlign w:val="bottom"/>
            <w:gridSpan w:val="2"/>
          </w:tcPr>
          <w:p>
            <w:pPr>
              <w:jc w:val="right"/>
              <w:spacing w:after="0" w:line="209" w:lineRule="exact"/>
              <w:rPr>
                <w:sz w:val="20"/>
                <w:szCs w:val="20"/>
                <w:color w:val="auto"/>
              </w:rPr>
            </w:pPr>
            <w:r>
              <w:rPr>
                <w:rFonts w:ascii="Arial" w:cs="Arial" w:eastAsia="Arial" w:hAnsi="Arial"/>
                <w:sz w:val="20"/>
                <w:szCs w:val="20"/>
                <w:b w:val="1"/>
                <w:bCs w:val="1"/>
                <w:color w:val="auto"/>
              </w:rPr>
              <w:t>2019</w:t>
            </w: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5180" w:type="dxa"/>
            <w:vAlign w:val="bottom"/>
          </w:tcPr>
          <w:p>
            <w:pPr>
              <w:spacing w:after="0"/>
              <w:rPr>
                <w:sz w:val="20"/>
                <w:szCs w:val="20"/>
                <w:color w:val="auto"/>
              </w:rPr>
            </w:pPr>
            <w:r>
              <w:rPr>
                <w:rFonts w:ascii="Arial" w:cs="Arial" w:eastAsia="Arial" w:hAnsi="Arial"/>
                <w:sz w:val="20"/>
                <w:szCs w:val="20"/>
                <w:b w:val="1"/>
                <w:bCs w:val="1"/>
                <w:color w:val="auto"/>
              </w:rPr>
              <w:t xml:space="preserve">Comparable Operating Results </w:t>
            </w:r>
            <w:r>
              <w:rPr>
                <w:rFonts w:ascii="Arial" w:cs="Arial" w:eastAsia="Arial" w:hAnsi="Arial"/>
                <w:sz w:val="25"/>
                <w:szCs w:val="25"/>
                <w:b w:val="1"/>
                <w:bCs w:val="1"/>
                <w:color w:val="auto"/>
                <w:vertAlign w:val="superscript"/>
              </w:rPr>
              <w:t>(1)</w:t>
            </w:r>
          </w:p>
        </w:tc>
        <w:tc>
          <w:tcPr>
            <w:tcW w:w="6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0"/>
                <w:szCs w:val="20"/>
                <w:color w:val="auto"/>
              </w:rPr>
            </w:pPr>
            <w:r>
              <w:rPr>
                <w:rFonts w:ascii="Arial" w:cs="Arial" w:eastAsia="Arial" w:hAnsi="Arial"/>
                <w:sz w:val="20"/>
                <w:szCs w:val="20"/>
                <w:color w:val="auto"/>
              </w:rPr>
              <w:t>ADR</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$216.42</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$216.38</w:t>
            </w:r>
          </w:p>
        </w:tc>
        <w:tc>
          <w:tcPr>
            <w:tcW w:w="2400" w:type="dxa"/>
            <w:vAlign w:val="bottom"/>
            <w:gridSpan w:val="3"/>
          </w:tcPr>
          <w:p>
            <w:pPr>
              <w:jc w:val="right"/>
              <w:spacing w:after="0"/>
              <w:rPr>
                <w:sz w:val="20"/>
                <w:szCs w:val="20"/>
                <w:color w:val="auto"/>
              </w:rPr>
            </w:pPr>
            <w:r>
              <w:rPr>
                <w:rFonts w:ascii="Arial" w:cs="Arial" w:eastAsia="Arial" w:hAnsi="Arial"/>
                <w:sz w:val="20"/>
                <w:szCs w:val="20"/>
                <w:color w:val="auto"/>
              </w:rPr>
              <w:t>0.0 %</w:t>
            </w: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Occupancy</w:t>
            </w:r>
          </w:p>
        </w:tc>
        <w:tc>
          <w:tcPr>
            <w:tcW w:w="1940" w:type="dxa"/>
            <w:vAlign w:val="bottom"/>
            <w:gridSpan w:val="3"/>
          </w:tcPr>
          <w:p>
            <w:pPr>
              <w:jc w:val="right"/>
              <w:ind w:right="161"/>
              <w:spacing w:after="0"/>
              <w:rPr>
                <w:sz w:val="20"/>
                <w:szCs w:val="20"/>
                <w:color w:val="auto"/>
              </w:rPr>
            </w:pPr>
            <w:r>
              <w:rPr>
                <w:rFonts w:ascii="Arial" w:cs="Arial" w:eastAsia="Arial" w:hAnsi="Arial"/>
                <w:sz w:val="20"/>
                <w:szCs w:val="20"/>
                <w:color w:val="auto"/>
              </w:rPr>
              <w:t>59.1%</w:t>
            </w:r>
          </w:p>
        </w:tc>
        <w:tc>
          <w:tcPr>
            <w:tcW w:w="1620" w:type="dxa"/>
            <w:vAlign w:val="bottom"/>
            <w:gridSpan w:val="3"/>
          </w:tcPr>
          <w:p>
            <w:pPr>
              <w:jc w:val="right"/>
              <w:ind w:right="40"/>
              <w:spacing w:after="0"/>
              <w:rPr>
                <w:sz w:val="20"/>
                <w:szCs w:val="20"/>
                <w:color w:val="auto"/>
              </w:rPr>
            </w:pPr>
            <w:r>
              <w:rPr>
                <w:rFonts w:ascii="Arial" w:cs="Arial" w:eastAsia="Arial" w:hAnsi="Arial"/>
                <w:sz w:val="20"/>
                <w:szCs w:val="20"/>
                <w:color w:val="auto"/>
              </w:rPr>
              <w:t>73.2%</w:t>
            </w:r>
          </w:p>
        </w:tc>
        <w:tc>
          <w:tcPr>
            <w:tcW w:w="2400" w:type="dxa"/>
            <w:vAlign w:val="bottom"/>
            <w:gridSpan w:val="3"/>
          </w:tcPr>
          <w:p>
            <w:pPr>
              <w:jc w:val="right"/>
              <w:spacing w:after="0"/>
              <w:rPr>
                <w:sz w:val="20"/>
                <w:szCs w:val="20"/>
                <w:color w:val="auto"/>
              </w:rPr>
            </w:pPr>
            <w:r>
              <w:rPr>
                <w:rFonts w:ascii="Arial" w:cs="Arial" w:eastAsia="Arial" w:hAnsi="Arial"/>
                <w:sz w:val="20"/>
                <w:szCs w:val="20"/>
                <w:color w:val="auto"/>
              </w:rPr>
              <w:t>-14.1 %</w:t>
            </w: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RevPAR</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$127.98</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$158.30</w:t>
            </w:r>
          </w:p>
        </w:tc>
        <w:tc>
          <w:tcPr>
            <w:tcW w:w="2400" w:type="dxa"/>
            <w:vAlign w:val="bottom"/>
            <w:gridSpan w:val="3"/>
          </w:tcPr>
          <w:p>
            <w:pPr>
              <w:jc w:val="right"/>
              <w:spacing w:after="0"/>
              <w:rPr>
                <w:sz w:val="20"/>
                <w:szCs w:val="20"/>
                <w:color w:val="auto"/>
              </w:rPr>
            </w:pPr>
            <w:r>
              <w:rPr>
                <w:rFonts w:ascii="Arial" w:cs="Arial" w:eastAsia="Arial" w:hAnsi="Arial"/>
                <w:sz w:val="20"/>
                <w:szCs w:val="20"/>
                <w:color w:val="auto"/>
              </w:rPr>
              <w:t>-19.2 %</w:t>
            </w: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Total RevPAR</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$194.59</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$234.43</w:t>
            </w:r>
          </w:p>
        </w:tc>
        <w:tc>
          <w:tcPr>
            <w:tcW w:w="2400" w:type="dxa"/>
            <w:vAlign w:val="bottom"/>
            <w:gridSpan w:val="3"/>
          </w:tcPr>
          <w:p>
            <w:pPr>
              <w:jc w:val="right"/>
              <w:spacing w:after="0"/>
              <w:rPr>
                <w:sz w:val="20"/>
                <w:szCs w:val="20"/>
                <w:color w:val="auto"/>
              </w:rPr>
            </w:pPr>
            <w:r>
              <w:rPr>
                <w:rFonts w:ascii="Arial" w:cs="Arial" w:eastAsia="Arial" w:hAnsi="Arial"/>
                <w:sz w:val="20"/>
                <w:szCs w:val="20"/>
                <w:color w:val="auto"/>
              </w:rPr>
              <w:t>-17.0 %</w:t>
            </w:r>
          </w:p>
        </w:tc>
        <w:tc>
          <w:tcPr>
            <w:tcW w:w="0" w:type="dxa"/>
            <w:vAlign w:val="bottom"/>
          </w:tcPr>
          <w:p>
            <w:pPr>
              <w:spacing w:after="0"/>
              <w:rPr>
                <w:sz w:val="1"/>
                <w:szCs w:val="1"/>
                <w:color w:val="auto"/>
              </w:rPr>
            </w:pPr>
          </w:p>
        </w:tc>
      </w:tr>
      <w:tr>
        <w:trPr>
          <w:trHeight w:val="284"/>
        </w:trPr>
        <w:tc>
          <w:tcPr>
            <w:tcW w:w="5180" w:type="dxa"/>
            <w:vAlign w:val="bottom"/>
          </w:tcPr>
          <w:p>
            <w:pPr>
              <w:spacing w:after="0"/>
              <w:rPr>
                <w:sz w:val="20"/>
                <w:szCs w:val="20"/>
                <w:color w:val="auto"/>
              </w:rPr>
            </w:pPr>
            <w:r>
              <w:rPr>
                <w:rFonts w:ascii="Arial" w:cs="Arial" w:eastAsia="Arial" w:hAnsi="Arial"/>
                <w:sz w:val="20"/>
                <w:szCs w:val="20"/>
                <w:color w:val="auto"/>
              </w:rPr>
              <w:t>Revenues</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$170.0 million</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$202.4 million</w:t>
            </w:r>
          </w:p>
        </w:tc>
        <w:tc>
          <w:tcPr>
            <w:tcW w:w="2400" w:type="dxa"/>
            <w:vAlign w:val="bottom"/>
            <w:gridSpan w:val="3"/>
          </w:tcPr>
          <w:p>
            <w:pPr>
              <w:jc w:val="right"/>
              <w:spacing w:after="0"/>
              <w:rPr>
                <w:sz w:val="20"/>
                <w:szCs w:val="20"/>
                <w:color w:val="auto"/>
              </w:rPr>
            </w:pPr>
            <w:r>
              <w:rPr>
                <w:rFonts w:ascii="Arial" w:cs="Arial" w:eastAsia="Arial" w:hAnsi="Arial"/>
                <w:sz w:val="20"/>
                <w:szCs w:val="20"/>
                <w:color w:val="auto"/>
              </w:rPr>
              <w:t>-16.0 %</w:t>
            </w: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Hotel Adjusted EBITDA</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$17.8 million</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$47.1 million</w:t>
            </w:r>
          </w:p>
        </w:tc>
        <w:tc>
          <w:tcPr>
            <w:tcW w:w="2400" w:type="dxa"/>
            <w:vAlign w:val="bottom"/>
            <w:gridSpan w:val="3"/>
          </w:tcPr>
          <w:p>
            <w:pPr>
              <w:jc w:val="right"/>
              <w:spacing w:after="0"/>
              <w:rPr>
                <w:sz w:val="20"/>
                <w:szCs w:val="20"/>
                <w:color w:val="auto"/>
              </w:rPr>
            </w:pPr>
            <w:r>
              <w:rPr>
                <w:rFonts w:ascii="Arial" w:cs="Arial" w:eastAsia="Arial" w:hAnsi="Arial"/>
                <w:sz w:val="20"/>
                <w:szCs w:val="20"/>
                <w:color w:val="auto"/>
              </w:rPr>
              <w:t>-62.2 %</w:t>
            </w: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Hotel Adjusted EBITDA Margin</w:t>
            </w:r>
          </w:p>
        </w:tc>
        <w:tc>
          <w:tcPr>
            <w:tcW w:w="1940" w:type="dxa"/>
            <w:vAlign w:val="bottom"/>
            <w:gridSpan w:val="3"/>
          </w:tcPr>
          <w:p>
            <w:pPr>
              <w:jc w:val="right"/>
              <w:ind w:right="161"/>
              <w:spacing w:after="0"/>
              <w:rPr>
                <w:sz w:val="20"/>
                <w:szCs w:val="20"/>
                <w:color w:val="auto"/>
              </w:rPr>
            </w:pPr>
            <w:r>
              <w:rPr>
                <w:rFonts w:ascii="Arial" w:cs="Arial" w:eastAsia="Arial" w:hAnsi="Arial"/>
                <w:sz w:val="20"/>
                <w:szCs w:val="20"/>
                <w:color w:val="auto"/>
              </w:rPr>
              <w:t>10.48%</w:t>
            </w:r>
          </w:p>
        </w:tc>
        <w:tc>
          <w:tcPr>
            <w:tcW w:w="1620" w:type="dxa"/>
            <w:vAlign w:val="bottom"/>
            <w:gridSpan w:val="3"/>
          </w:tcPr>
          <w:p>
            <w:pPr>
              <w:jc w:val="right"/>
              <w:ind w:right="40"/>
              <w:spacing w:after="0"/>
              <w:rPr>
                <w:sz w:val="20"/>
                <w:szCs w:val="20"/>
                <w:color w:val="auto"/>
              </w:rPr>
            </w:pPr>
            <w:r>
              <w:rPr>
                <w:rFonts w:ascii="Arial" w:cs="Arial" w:eastAsia="Arial" w:hAnsi="Arial"/>
                <w:sz w:val="20"/>
                <w:szCs w:val="20"/>
                <w:color w:val="auto"/>
              </w:rPr>
              <w:t>23.28%</w:t>
            </w:r>
          </w:p>
        </w:tc>
        <w:tc>
          <w:tcPr>
            <w:tcW w:w="2400" w:type="dxa"/>
            <w:vAlign w:val="bottom"/>
            <w:gridSpan w:val="3"/>
          </w:tcPr>
          <w:p>
            <w:pPr>
              <w:jc w:val="right"/>
              <w:ind w:right="200"/>
              <w:spacing w:after="0"/>
              <w:rPr>
                <w:sz w:val="20"/>
                <w:szCs w:val="20"/>
                <w:color w:val="auto"/>
              </w:rPr>
            </w:pPr>
            <w:r>
              <w:rPr>
                <w:rFonts w:ascii="Arial" w:cs="Arial" w:eastAsia="Arial" w:hAnsi="Arial"/>
                <w:sz w:val="20"/>
                <w:szCs w:val="20"/>
                <w:color w:val="auto"/>
              </w:rPr>
              <w:t>-1280 basis points</w:t>
            </w: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Available Rooms</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873,600</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863,264</w:t>
            </w:r>
          </w:p>
        </w:tc>
        <w:tc>
          <w:tcPr>
            <w:tcW w:w="2400" w:type="dxa"/>
            <w:vAlign w:val="bottom"/>
            <w:gridSpan w:val="3"/>
          </w:tcPr>
          <w:p>
            <w:pPr>
              <w:jc w:val="right"/>
              <w:ind w:right="200"/>
              <w:spacing w:after="0"/>
              <w:rPr>
                <w:sz w:val="20"/>
                <w:szCs w:val="20"/>
                <w:color w:val="auto"/>
              </w:rPr>
            </w:pPr>
            <w:r>
              <w:rPr>
                <w:rFonts w:ascii="Arial" w:cs="Arial" w:eastAsia="Arial" w:hAnsi="Arial"/>
                <w:sz w:val="20"/>
                <w:szCs w:val="20"/>
                <w:color w:val="auto"/>
              </w:rPr>
              <w:t>10,336 rooms</w:t>
            </w:r>
          </w:p>
        </w:tc>
        <w:tc>
          <w:tcPr>
            <w:tcW w:w="0" w:type="dxa"/>
            <w:vAlign w:val="bottom"/>
          </w:tcPr>
          <w:p>
            <w:pPr>
              <w:spacing w:after="0"/>
              <w:rPr>
                <w:sz w:val="1"/>
                <w:szCs w:val="1"/>
                <w:color w:val="auto"/>
              </w:rPr>
            </w:pPr>
          </w:p>
        </w:tc>
      </w:tr>
      <w:tr>
        <w:trPr>
          <w:trHeight w:val="621"/>
        </w:trPr>
        <w:tc>
          <w:tcPr>
            <w:tcW w:w="5180" w:type="dxa"/>
            <w:vAlign w:val="bottom"/>
          </w:tcPr>
          <w:p>
            <w:pPr>
              <w:spacing w:after="0"/>
              <w:rPr>
                <w:sz w:val="20"/>
                <w:szCs w:val="20"/>
                <w:color w:val="auto"/>
              </w:rPr>
            </w:pPr>
            <w:r>
              <w:rPr>
                <w:rFonts w:ascii="Arial" w:cs="Arial" w:eastAsia="Arial" w:hAnsi="Arial"/>
                <w:sz w:val="20"/>
                <w:szCs w:val="20"/>
                <w:b w:val="1"/>
                <w:bCs w:val="1"/>
                <w:color w:val="auto"/>
              </w:rPr>
              <w:t>Actual Operating Results</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Revenues</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$170.0 million</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$202.4 million</w:t>
            </w:r>
          </w:p>
        </w:tc>
        <w:tc>
          <w:tcPr>
            <w:tcW w:w="2400" w:type="dxa"/>
            <w:vAlign w:val="bottom"/>
            <w:gridSpan w:val="3"/>
          </w:tcPr>
          <w:p>
            <w:pPr>
              <w:jc w:val="right"/>
              <w:spacing w:after="0"/>
              <w:rPr>
                <w:sz w:val="20"/>
                <w:szCs w:val="20"/>
                <w:color w:val="auto"/>
              </w:rPr>
            </w:pPr>
            <w:r>
              <w:rPr>
                <w:rFonts w:ascii="Arial" w:cs="Arial" w:eastAsia="Arial" w:hAnsi="Arial"/>
                <w:sz w:val="20"/>
                <w:szCs w:val="20"/>
                <w:color w:val="auto"/>
              </w:rPr>
              <w:t>-16.0 %</w:t>
            </w:r>
          </w:p>
        </w:tc>
        <w:tc>
          <w:tcPr>
            <w:tcW w:w="0" w:type="dxa"/>
            <w:vAlign w:val="bottom"/>
          </w:tcPr>
          <w:p>
            <w:pPr>
              <w:spacing w:after="0"/>
              <w:rPr>
                <w:sz w:val="1"/>
                <w:szCs w:val="1"/>
                <w:color w:val="auto"/>
              </w:rPr>
            </w:pPr>
          </w:p>
        </w:tc>
      </w:tr>
      <w:tr>
        <w:trPr>
          <w:trHeight w:val="284"/>
        </w:trPr>
        <w:tc>
          <w:tcPr>
            <w:tcW w:w="5180" w:type="dxa"/>
            <w:vAlign w:val="bottom"/>
          </w:tcPr>
          <w:p>
            <w:pPr>
              <w:spacing w:after="0"/>
              <w:rPr>
                <w:sz w:val="20"/>
                <w:szCs w:val="20"/>
                <w:color w:val="auto"/>
              </w:rPr>
            </w:pPr>
            <w:r>
              <w:rPr>
                <w:rFonts w:ascii="Arial" w:cs="Arial" w:eastAsia="Arial" w:hAnsi="Arial"/>
                <w:sz w:val="20"/>
                <w:szCs w:val="20"/>
                <w:color w:val="auto"/>
              </w:rPr>
              <w:t>Net loss/income</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-$34.7 million</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$9.0 million</w:t>
            </w:r>
          </w:p>
        </w:tc>
        <w:tc>
          <w:tcPr>
            <w:tcW w:w="2400" w:type="dxa"/>
            <w:vAlign w:val="bottom"/>
            <w:gridSpan w:val="3"/>
          </w:tcPr>
          <w:p>
            <w:pPr>
              <w:jc w:val="right"/>
              <w:ind w:right="200"/>
              <w:spacing w:after="0"/>
              <w:rPr>
                <w:sz w:val="20"/>
                <w:szCs w:val="20"/>
                <w:color w:val="auto"/>
              </w:rPr>
            </w:pPr>
            <w:r>
              <w:rPr>
                <w:rFonts w:ascii="Arial" w:cs="Arial" w:eastAsia="Arial" w:hAnsi="Arial"/>
                <w:sz w:val="20"/>
                <w:szCs w:val="20"/>
                <w:color w:val="auto"/>
              </w:rPr>
              <w:t>-$43.7 million</w:t>
            </w: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Loss/Earnings per diluted share</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-$0.17</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$0.04</w:t>
            </w:r>
          </w:p>
        </w:tc>
        <w:tc>
          <w:tcPr>
            <w:tcW w:w="2400" w:type="dxa"/>
            <w:vAlign w:val="bottom"/>
            <w:gridSpan w:val="3"/>
          </w:tcPr>
          <w:p>
            <w:pPr>
              <w:jc w:val="right"/>
              <w:ind w:right="200"/>
              <w:spacing w:after="0"/>
              <w:rPr>
                <w:sz w:val="20"/>
                <w:szCs w:val="20"/>
                <w:color w:val="auto"/>
              </w:rPr>
            </w:pPr>
            <w:r>
              <w:rPr>
                <w:rFonts w:ascii="Arial" w:cs="Arial" w:eastAsia="Arial" w:hAnsi="Arial"/>
                <w:sz w:val="20"/>
                <w:szCs w:val="20"/>
                <w:color w:val="auto"/>
              </w:rPr>
              <w:t>-$0.21</w:t>
            </w: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Adjusted EBITDA</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$11.9 million</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$49.2 million</w:t>
            </w:r>
          </w:p>
        </w:tc>
        <w:tc>
          <w:tcPr>
            <w:tcW w:w="2400" w:type="dxa"/>
            <w:vAlign w:val="bottom"/>
            <w:gridSpan w:val="3"/>
          </w:tcPr>
          <w:p>
            <w:pPr>
              <w:jc w:val="right"/>
              <w:ind w:right="200"/>
              <w:spacing w:after="0"/>
              <w:rPr>
                <w:sz w:val="20"/>
                <w:szCs w:val="20"/>
                <w:color w:val="auto"/>
              </w:rPr>
            </w:pPr>
            <w:r>
              <w:rPr>
                <w:rFonts w:ascii="Arial" w:cs="Arial" w:eastAsia="Arial" w:hAnsi="Arial"/>
                <w:sz w:val="20"/>
                <w:szCs w:val="20"/>
                <w:color w:val="auto"/>
              </w:rPr>
              <w:t>-$37.3 million</w:t>
            </w: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Adjusted FFO</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$8.4 million</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$41.9 million</w:t>
            </w:r>
          </w:p>
        </w:tc>
        <w:tc>
          <w:tcPr>
            <w:tcW w:w="2400" w:type="dxa"/>
            <w:vAlign w:val="bottom"/>
            <w:gridSpan w:val="3"/>
          </w:tcPr>
          <w:p>
            <w:pPr>
              <w:jc w:val="right"/>
              <w:ind w:right="200"/>
              <w:spacing w:after="0"/>
              <w:rPr>
                <w:sz w:val="20"/>
                <w:szCs w:val="20"/>
                <w:color w:val="auto"/>
              </w:rPr>
            </w:pPr>
            <w:r>
              <w:rPr>
                <w:rFonts w:ascii="Arial" w:cs="Arial" w:eastAsia="Arial" w:hAnsi="Arial"/>
                <w:sz w:val="20"/>
                <w:szCs w:val="20"/>
                <w:color w:val="auto"/>
              </w:rPr>
              <w:t>-$33.5 million</w:t>
            </w: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Adjusted FFO per diluted share</w:t>
            </w:r>
          </w:p>
        </w:tc>
        <w:tc>
          <w:tcPr>
            <w:tcW w:w="1940" w:type="dxa"/>
            <w:vAlign w:val="bottom"/>
            <w:gridSpan w:val="3"/>
          </w:tcPr>
          <w:p>
            <w:pPr>
              <w:jc w:val="right"/>
              <w:ind w:right="321"/>
              <w:spacing w:after="0"/>
              <w:rPr>
                <w:sz w:val="20"/>
                <w:szCs w:val="20"/>
                <w:color w:val="auto"/>
              </w:rPr>
            </w:pPr>
            <w:r>
              <w:rPr>
                <w:rFonts w:ascii="Arial" w:cs="Arial" w:eastAsia="Arial" w:hAnsi="Arial"/>
                <w:sz w:val="20"/>
                <w:szCs w:val="20"/>
                <w:color w:val="auto"/>
              </w:rPr>
              <w:t>$0.04</w:t>
            </w: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$0.21</w:t>
            </w:r>
          </w:p>
        </w:tc>
        <w:tc>
          <w:tcPr>
            <w:tcW w:w="2400" w:type="dxa"/>
            <w:vAlign w:val="bottom"/>
            <w:gridSpan w:val="3"/>
          </w:tcPr>
          <w:p>
            <w:pPr>
              <w:jc w:val="right"/>
              <w:ind w:right="200"/>
              <w:spacing w:after="0"/>
              <w:rPr>
                <w:sz w:val="20"/>
                <w:szCs w:val="20"/>
                <w:color w:val="auto"/>
              </w:rPr>
            </w:pPr>
            <w:r>
              <w:rPr>
                <w:rFonts w:ascii="Arial" w:cs="Arial" w:eastAsia="Arial" w:hAnsi="Arial"/>
                <w:sz w:val="20"/>
                <w:szCs w:val="20"/>
                <w:color w:val="auto"/>
              </w:rPr>
              <w:t>-$0.17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Comparable operating results exclude Frenchman’s Reef for all periods presented and does not adjust for hotels that have suspended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Pandemic</w:t>
      </w:r>
    </w:p>
    <w:p>
      <w:pPr>
        <w:spacing w:after="0" w:line="22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In March 2020, the World Health Organization declared COVID-19 a global pandemic. The pandemic has reduced travel and adversely affected the hospitality industry in general. There has been a significant reduction to lodging demand generators, including city-wide conferences, sporting and entertainment events, corporate and leisure travel, and overall domestic airlift capacity. Consumer spending decreased in March 2020 and the Company expects further decreases into the second quarter of 2020</w:t>
      </w:r>
      <w:r>
        <w:rPr>
          <w:rFonts w:ascii="Arial" w:cs="Arial" w:eastAsia="Arial" w:hAnsi="Arial"/>
          <w:sz w:val="15"/>
          <w:szCs w:val="15"/>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the COVID-19 pandemic, the Company has taken the following aggressive actions at the property and corporate levels.</w:t>
      </w:r>
    </w:p>
    <w:p>
      <w:pPr>
        <w:spacing w:after="0" w:line="252" w:lineRule="exact"/>
        <w:rPr>
          <w:sz w:val="20"/>
          <w:szCs w:val="20"/>
          <w:color w:val="auto"/>
        </w:rPr>
      </w:pPr>
    </w:p>
    <w:p>
      <w:pPr>
        <w:ind w:left="660" w:right="120" w:hanging="328"/>
        <w:spacing w:after="0" w:line="245"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coordination with its hotel operators, the Company suspended operations at 20 of its hotels throughout March and April 2020 and the operations of these hotels remain suspended as of May 11, 2020. The Company maintains a limited staffing presence at these hotels, such as security and engineering personnel.</w:t>
      </w:r>
    </w:p>
    <w:p>
      <w:pPr>
        <w:ind w:left="660" w:right="120" w:hanging="328"/>
        <w:spacing w:after="0" w:line="239"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has developed and implemented action plans with its hotel operators to significantly reduce operating costs at each of its hotels.</w:t>
      </w:r>
    </w:p>
    <w:p>
      <w:pPr>
        <w:ind w:left="660" w:hanging="328"/>
        <w:spacing w:after="0" w:line="239"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is cultivating alternative demand for its hotels, including by accommodating first responders, health care providers and quarantined military personnel.</w:t>
      </w:r>
    </w:p>
    <w:p>
      <w:pPr>
        <w:ind w:left="660" w:right="760" w:hanging="328"/>
        <w:spacing w:after="0" w:line="239"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has reduced corporate expenses through decreases in executive compensation, employee headcount and other expenses.</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has canceled or deferred over 70% of its capital expenditures planned for the remainder of 2020.</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339" w:right="339" w:bottom="1440" w:gutter="0" w:footer="0" w:header="0"/>
        </w:sectPr>
      </w:pPr>
    </w:p>
    <w:bookmarkStart w:id="6" w:name="page7"/>
    <w:bookmarkEnd w:id="6"/>
    <w:p>
      <w:pPr>
        <w:ind w:left="660" w:right="200" w:hanging="328"/>
        <w:spacing w:after="0" w:line="24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has paused the rebuild of Frenchman's Reef, which the Company had expected to open as two separate hotels in late 2020.</w:t>
      </w:r>
    </w:p>
    <w:p>
      <w:pPr>
        <w:spacing w:after="0" w:line="1" w:lineRule="exact"/>
        <w:rPr>
          <w:rFonts w:ascii="Arial" w:cs="Arial" w:eastAsia="Arial" w:hAnsi="Arial"/>
          <w:sz w:val="20"/>
          <w:szCs w:val="20"/>
          <w:color w:val="auto"/>
        </w:rPr>
      </w:pPr>
    </w:p>
    <w:p>
      <w:pPr>
        <w:ind w:left="660" w:right="220" w:hanging="328"/>
        <w:spacing w:after="0" w:line="239"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has suspended its quarterly dividend commencing with the first quarter dividend that would have been paid in April 2020. The Company expects to pay a dividend in January 2021 sufficient to cover 100% of its taxable income, if any, for the year ending December 31, 2020.</w:t>
      </w:r>
    </w:p>
    <w:p>
      <w:pPr>
        <w:spacing w:after="0" w:line="1" w:lineRule="exact"/>
        <w:rPr>
          <w:rFonts w:ascii="Arial" w:cs="Arial" w:eastAsia="Arial" w:hAnsi="Arial"/>
          <w:sz w:val="20"/>
          <w:szCs w:val="20"/>
          <w:color w:val="auto"/>
        </w:rPr>
      </w:pPr>
    </w:p>
    <w:p>
      <w:pPr>
        <w:ind w:left="660" w:right="260" w:hanging="328"/>
        <w:spacing w:after="0" w:line="239"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fully drew down its $400 million senior unsecured credit facility to enhance its liquidity. As of March 31, 2020, the Company had unrestricted cash of approximately $387.8 million.</w:t>
      </w:r>
    </w:p>
    <w:p>
      <w:pPr>
        <w:ind w:left="660" w:right="560" w:hanging="328"/>
        <w:spacing w:after="0" w:line="260" w:lineRule="auto"/>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Company is working with its lenders to provide flexibility on certain financial covenants under its senior unsecured credit facility and unsecured term loans. The Company has a term sheet for an amendment to its credit agreements that provides for covenant waivers through March 31, 2021 and certain other modifications thereafter.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00" w:type="dxa"/>
            <w:vAlign w:val="bottom"/>
            <w:gridSpan w:val="3"/>
          </w:tcPr>
          <w:p>
            <w:pPr>
              <w:spacing w:after="0"/>
              <w:rPr>
                <w:sz w:val="20"/>
                <w:szCs w:val="20"/>
                <w:color w:val="auto"/>
              </w:rPr>
            </w:pPr>
            <w:r>
              <w:rPr>
                <w:rFonts w:ascii="Arial" w:cs="Arial" w:eastAsia="Arial" w:hAnsi="Arial"/>
                <w:sz w:val="20"/>
                <w:szCs w:val="20"/>
                <w:color w:val="auto"/>
                <w:w w:val="90"/>
              </w:rPr>
              <w:t>The following table identifies each of the Company's hotels that has suspended operations: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365"/>
        </w:trPr>
        <w:tc>
          <w:tcPr>
            <w:tcW w:w="10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341"/>
              <w:spacing w:after="0"/>
              <w:rPr>
                <w:sz w:val="20"/>
                <w:szCs w:val="20"/>
                <w:color w:val="auto"/>
              </w:rPr>
            </w:pPr>
            <w:r>
              <w:rPr>
                <w:rFonts w:ascii="Arial" w:cs="Arial" w:eastAsia="Arial" w:hAnsi="Arial"/>
                <w:sz w:val="20"/>
                <w:szCs w:val="20"/>
                <w:b w:val="1"/>
                <w:bCs w:val="1"/>
                <w:color w:val="auto"/>
              </w:rPr>
              <w:t>Date of</w:t>
            </w:r>
          </w:p>
        </w:tc>
      </w:tr>
      <w:tr>
        <w:trPr>
          <w:trHeight w:val="256"/>
        </w:trPr>
        <w:tc>
          <w:tcPr>
            <w:tcW w:w="1020" w:type="dxa"/>
            <w:vAlign w:val="bottom"/>
          </w:tcPr>
          <w:p>
            <w:pPr>
              <w:spacing w:after="0"/>
              <w:rPr>
                <w:sz w:val="22"/>
                <w:szCs w:val="22"/>
                <w:color w:val="auto"/>
              </w:rPr>
            </w:pPr>
          </w:p>
        </w:tc>
        <w:tc>
          <w:tcPr>
            <w:tcW w:w="6280" w:type="dxa"/>
            <w:vAlign w:val="bottom"/>
            <w:gridSpan w:val="2"/>
          </w:tcPr>
          <w:p>
            <w:pPr>
              <w:ind w:left="2700"/>
              <w:spacing w:after="0"/>
              <w:rPr>
                <w:sz w:val="20"/>
                <w:szCs w:val="20"/>
                <w:color w:val="auto"/>
              </w:rPr>
            </w:pPr>
            <w:r>
              <w:rPr>
                <w:rFonts w:ascii="Arial" w:cs="Arial" w:eastAsia="Arial" w:hAnsi="Arial"/>
                <w:sz w:val="20"/>
                <w:szCs w:val="20"/>
                <w:b w:val="1"/>
                <w:bCs w:val="1"/>
                <w:color w:val="auto"/>
              </w:rPr>
              <w:t>Property</w:t>
            </w:r>
          </w:p>
        </w:tc>
        <w:tc>
          <w:tcPr>
            <w:tcW w:w="1460" w:type="dxa"/>
            <w:vAlign w:val="bottom"/>
            <w:gridSpan w:val="2"/>
          </w:tcPr>
          <w:p>
            <w:pPr>
              <w:ind w:left="200"/>
              <w:spacing w:after="0"/>
              <w:rPr>
                <w:sz w:val="20"/>
                <w:szCs w:val="20"/>
                <w:color w:val="auto"/>
              </w:rPr>
            </w:pPr>
            <w:r>
              <w:rPr>
                <w:rFonts w:ascii="Arial" w:cs="Arial" w:eastAsia="Arial" w:hAnsi="Arial"/>
                <w:sz w:val="20"/>
                <w:szCs w:val="20"/>
                <w:b w:val="1"/>
                <w:bCs w:val="1"/>
                <w:color w:val="auto"/>
              </w:rPr>
              <w:t># of Rooms</w:t>
            </w:r>
          </w:p>
        </w:tc>
        <w:tc>
          <w:tcPr>
            <w:tcW w:w="1480" w:type="dxa"/>
            <w:vAlign w:val="bottom"/>
          </w:tcPr>
          <w:p>
            <w:pPr>
              <w:jc w:val="right"/>
              <w:ind w:right="161"/>
              <w:spacing w:after="0"/>
              <w:rPr>
                <w:sz w:val="20"/>
                <w:szCs w:val="20"/>
                <w:color w:val="auto"/>
              </w:rPr>
            </w:pPr>
            <w:r>
              <w:rPr>
                <w:rFonts w:ascii="Arial" w:cs="Arial" w:eastAsia="Arial" w:hAnsi="Arial"/>
                <w:sz w:val="20"/>
                <w:szCs w:val="20"/>
                <w:b w:val="1"/>
                <w:bCs w:val="1"/>
                <w:color w:val="auto"/>
              </w:rPr>
              <w:t>Suspension</w:t>
            </w:r>
          </w:p>
        </w:tc>
      </w:tr>
      <w:tr>
        <w:trPr>
          <w:trHeight w:val="23"/>
        </w:trPr>
        <w:tc>
          <w:tcPr>
            <w:tcW w:w="1020" w:type="dxa"/>
            <w:vAlign w:val="bottom"/>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4"/>
        </w:trPr>
        <w:tc>
          <w:tcPr>
            <w:tcW w:w="1020" w:type="dxa"/>
            <w:vAlign w:val="bottom"/>
          </w:tcPr>
          <w:p>
            <w:pPr>
              <w:spacing w:after="0"/>
              <w:rPr>
                <w:sz w:val="22"/>
                <w:szCs w:val="22"/>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Cavallo Point, The Lodge at the Golden Gate</w:t>
            </w:r>
          </w:p>
        </w:tc>
        <w:tc>
          <w:tcPr>
            <w:tcW w:w="1360" w:type="dxa"/>
            <w:vAlign w:val="bottom"/>
          </w:tcPr>
          <w:p>
            <w:pPr>
              <w:jc w:val="right"/>
              <w:spacing w:after="0"/>
              <w:rPr>
                <w:sz w:val="20"/>
                <w:szCs w:val="20"/>
                <w:color w:val="auto"/>
              </w:rPr>
            </w:pPr>
            <w:r>
              <w:rPr>
                <w:rFonts w:ascii="Arial" w:cs="Arial" w:eastAsia="Arial" w:hAnsi="Arial"/>
                <w:sz w:val="20"/>
                <w:szCs w:val="20"/>
                <w:color w:val="auto"/>
              </w:rPr>
              <w:t>142</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3/17/2020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Courtyard Denver Downtown</w:t>
            </w:r>
          </w:p>
        </w:tc>
        <w:tc>
          <w:tcPr>
            <w:tcW w:w="1360" w:type="dxa"/>
            <w:vAlign w:val="bottom"/>
          </w:tcPr>
          <w:p>
            <w:pPr>
              <w:jc w:val="right"/>
              <w:spacing w:after="0"/>
              <w:rPr>
                <w:sz w:val="20"/>
                <w:szCs w:val="20"/>
                <w:color w:val="auto"/>
              </w:rPr>
            </w:pPr>
            <w:r>
              <w:rPr>
                <w:rFonts w:ascii="Arial" w:cs="Arial" w:eastAsia="Arial" w:hAnsi="Arial"/>
                <w:sz w:val="20"/>
                <w:szCs w:val="20"/>
                <w:color w:val="auto"/>
              </w:rPr>
              <w:t>177</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3/20/2020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Vail Marriott Mountain Resort &amp; Spa</w:t>
            </w:r>
          </w:p>
        </w:tc>
        <w:tc>
          <w:tcPr>
            <w:tcW w:w="1360" w:type="dxa"/>
            <w:vAlign w:val="bottom"/>
          </w:tcPr>
          <w:p>
            <w:pPr>
              <w:jc w:val="right"/>
              <w:spacing w:after="0"/>
              <w:rPr>
                <w:sz w:val="20"/>
                <w:szCs w:val="20"/>
                <w:color w:val="auto"/>
              </w:rPr>
            </w:pPr>
            <w:r>
              <w:rPr>
                <w:rFonts w:ascii="Arial" w:cs="Arial" w:eastAsia="Arial" w:hAnsi="Arial"/>
                <w:sz w:val="20"/>
                <w:szCs w:val="20"/>
                <w:color w:val="auto"/>
              </w:rPr>
              <w:t>344</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3/20/2020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The Lodge at Sonoma, a Renaissance Resort &amp; Spa</w:t>
            </w:r>
          </w:p>
        </w:tc>
        <w:tc>
          <w:tcPr>
            <w:tcW w:w="1360" w:type="dxa"/>
            <w:vAlign w:val="bottom"/>
          </w:tcPr>
          <w:p>
            <w:pPr>
              <w:jc w:val="right"/>
              <w:spacing w:after="0"/>
              <w:rPr>
                <w:sz w:val="20"/>
                <w:szCs w:val="20"/>
                <w:color w:val="auto"/>
              </w:rPr>
            </w:pPr>
            <w:r>
              <w:rPr>
                <w:rFonts w:ascii="Arial" w:cs="Arial" w:eastAsia="Arial" w:hAnsi="Arial"/>
                <w:sz w:val="20"/>
                <w:szCs w:val="20"/>
                <w:color w:val="auto"/>
              </w:rPr>
              <w:t>182</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3/21/2020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JW Marriott Denver at Cherry Creek</w:t>
            </w:r>
          </w:p>
        </w:tc>
        <w:tc>
          <w:tcPr>
            <w:tcW w:w="1360" w:type="dxa"/>
            <w:vAlign w:val="bottom"/>
          </w:tcPr>
          <w:p>
            <w:pPr>
              <w:jc w:val="right"/>
              <w:spacing w:after="0"/>
              <w:rPr>
                <w:sz w:val="20"/>
                <w:szCs w:val="20"/>
                <w:color w:val="auto"/>
              </w:rPr>
            </w:pPr>
            <w:r>
              <w:rPr>
                <w:rFonts w:ascii="Arial" w:cs="Arial" w:eastAsia="Arial" w:hAnsi="Arial"/>
                <w:sz w:val="20"/>
                <w:szCs w:val="20"/>
                <w:color w:val="auto"/>
              </w:rPr>
              <w:t>199</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3/22/2020</w:t>
            </w:r>
          </w:p>
        </w:tc>
      </w:tr>
      <w:tr>
        <w:trPr>
          <w:trHeight w:val="284"/>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Havana Cabana Key West</w:t>
            </w:r>
          </w:p>
        </w:tc>
        <w:tc>
          <w:tcPr>
            <w:tcW w:w="1360" w:type="dxa"/>
            <w:vAlign w:val="bottom"/>
          </w:tcPr>
          <w:p>
            <w:pPr>
              <w:jc w:val="right"/>
              <w:spacing w:after="0"/>
              <w:rPr>
                <w:sz w:val="20"/>
                <w:szCs w:val="20"/>
                <w:color w:val="auto"/>
              </w:rPr>
            </w:pPr>
            <w:r>
              <w:rPr>
                <w:rFonts w:ascii="Arial" w:cs="Arial" w:eastAsia="Arial" w:hAnsi="Arial"/>
                <w:sz w:val="20"/>
                <w:szCs w:val="20"/>
                <w:color w:val="auto"/>
              </w:rPr>
              <w:t>106</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3/23/2020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Hilton Boston Downtown</w:t>
            </w:r>
          </w:p>
        </w:tc>
        <w:tc>
          <w:tcPr>
            <w:tcW w:w="1360" w:type="dxa"/>
            <w:vAlign w:val="bottom"/>
          </w:tcPr>
          <w:p>
            <w:pPr>
              <w:jc w:val="right"/>
              <w:spacing w:after="0"/>
              <w:rPr>
                <w:sz w:val="20"/>
                <w:szCs w:val="20"/>
                <w:color w:val="auto"/>
              </w:rPr>
            </w:pPr>
            <w:r>
              <w:rPr>
                <w:rFonts w:ascii="Arial" w:cs="Arial" w:eastAsia="Arial" w:hAnsi="Arial"/>
                <w:sz w:val="20"/>
                <w:szCs w:val="20"/>
                <w:color w:val="auto"/>
              </w:rPr>
              <w:t>403</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3/23/2020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Hotel Emblem</w:t>
            </w:r>
          </w:p>
        </w:tc>
        <w:tc>
          <w:tcPr>
            <w:tcW w:w="1360" w:type="dxa"/>
            <w:vAlign w:val="bottom"/>
          </w:tcPr>
          <w:p>
            <w:pPr>
              <w:jc w:val="right"/>
              <w:spacing w:after="0"/>
              <w:rPr>
                <w:sz w:val="20"/>
                <w:szCs w:val="20"/>
                <w:color w:val="auto"/>
              </w:rPr>
            </w:pPr>
            <w:r>
              <w:rPr>
                <w:rFonts w:ascii="Arial" w:cs="Arial" w:eastAsia="Arial" w:hAnsi="Arial"/>
                <w:sz w:val="20"/>
                <w:szCs w:val="20"/>
                <w:color w:val="auto"/>
              </w:rPr>
              <w:t>96</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3/23/2020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Sheraton Suites Key West</w:t>
            </w:r>
          </w:p>
        </w:tc>
        <w:tc>
          <w:tcPr>
            <w:tcW w:w="1360" w:type="dxa"/>
            <w:vAlign w:val="bottom"/>
          </w:tcPr>
          <w:p>
            <w:pPr>
              <w:jc w:val="right"/>
              <w:spacing w:after="0"/>
              <w:rPr>
                <w:sz w:val="20"/>
                <w:szCs w:val="20"/>
                <w:color w:val="auto"/>
              </w:rPr>
            </w:pPr>
            <w:r>
              <w:rPr>
                <w:rFonts w:ascii="Arial" w:cs="Arial" w:eastAsia="Arial" w:hAnsi="Arial"/>
                <w:sz w:val="20"/>
                <w:szCs w:val="20"/>
                <w:color w:val="auto"/>
              </w:rPr>
              <w:t>184</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3/23/2020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The Landing Resort &amp; Spa</w:t>
            </w:r>
          </w:p>
        </w:tc>
        <w:tc>
          <w:tcPr>
            <w:tcW w:w="1360" w:type="dxa"/>
            <w:vAlign w:val="bottom"/>
          </w:tcPr>
          <w:p>
            <w:pPr>
              <w:jc w:val="right"/>
              <w:spacing w:after="0"/>
              <w:rPr>
                <w:sz w:val="20"/>
                <w:szCs w:val="20"/>
                <w:color w:val="auto"/>
              </w:rPr>
            </w:pPr>
            <w:r>
              <w:rPr>
                <w:rFonts w:ascii="Arial" w:cs="Arial" w:eastAsia="Arial" w:hAnsi="Arial"/>
                <w:sz w:val="20"/>
                <w:szCs w:val="20"/>
                <w:color w:val="auto"/>
              </w:rPr>
              <w:t>82</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3/23/2020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Westin Boston Waterfront Hotel</w:t>
            </w:r>
          </w:p>
        </w:tc>
        <w:tc>
          <w:tcPr>
            <w:tcW w:w="1360" w:type="dxa"/>
            <w:vAlign w:val="bottom"/>
          </w:tcPr>
          <w:p>
            <w:pPr>
              <w:jc w:val="right"/>
              <w:spacing w:after="0"/>
              <w:rPr>
                <w:sz w:val="20"/>
                <w:szCs w:val="20"/>
                <w:color w:val="auto"/>
              </w:rPr>
            </w:pPr>
            <w:r>
              <w:rPr>
                <w:rFonts w:ascii="Arial" w:cs="Arial" w:eastAsia="Arial" w:hAnsi="Arial"/>
                <w:sz w:val="20"/>
                <w:szCs w:val="20"/>
                <w:color w:val="auto"/>
              </w:rPr>
              <w:t>793</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3/25/2020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Courtyard Manhattan/Fifth Avenue</w:t>
            </w:r>
          </w:p>
        </w:tc>
        <w:tc>
          <w:tcPr>
            <w:tcW w:w="1360" w:type="dxa"/>
            <w:vAlign w:val="bottom"/>
          </w:tcPr>
          <w:p>
            <w:pPr>
              <w:jc w:val="right"/>
              <w:spacing w:after="0"/>
              <w:rPr>
                <w:sz w:val="20"/>
                <w:szCs w:val="20"/>
                <w:color w:val="auto"/>
              </w:rPr>
            </w:pPr>
            <w:r>
              <w:rPr>
                <w:rFonts w:ascii="Arial" w:cs="Arial" w:eastAsia="Arial" w:hAnsi="Arial"/>
                <w:sz w:val="20"/>
                <w:szCs w:val="20"/>
                <w:color w:val="auto"/>
              </w:rPr>
              <w:t>189</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3/27/2020</w:t>
            </w:r>
          </w:p>
        </w:tc>
      </w:tr>
      <w:tr>
        <w:trPr>
          <w:trHeight w:val="284"/>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Hilton Garden Inn Times Square Central</w:t>
            </w:r>
          </w:p>
        </w:tc>
        <w:tc>
          <w:tcPr>
            <w:tcW w:w="1360" w:type="dxa"/>
            <w:vAlign w:val="bottom"/>
          </w:tcPr>
          <w:p>
            <w:pPr>
              <w:jc w:val="right"/>
              <w:spacing w:after="0"/>
              <w:rPr>
                <w:sz w:val="20"/>
                <w:szCs w:val="20"/>
                <w:color w:val="auto"/>
              </w:rPr>
            </w:pPr>
            <w:r>
              <w:rPr>
                <w:rFonts w:ascii="Arial" w:cs="Arial" w:eastAsia="Arial" w:hAnsi="Arial"/>
                <w:sz w:val="20"/>
                <w:szCs w:val="20"/>
                <w:color w:val="auto"/>
              </w:rPr>
              <w:t>282</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3/29/2020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Lexington Hotel New York</w:t>
            </w:r>
          </w:p>
        </w:tc>
        <w:tc>
          <w:tcPr>
            <w:tcW w:w="1360" w:type="dxa"/>
            <w:vAlign w:val="bottom"/>
          </w:tcPr>
          <w:p>
            <w:pPr>
              <w:jc w:val="right"/>
              <w:spacing w:after="0"/>
              <w:rPr>
                <w:sz w:val="20"/>
                <w:szCs w:val="20"/>
                <w:color w:val="auto"/>
              </w:rPr>
            </w:pPr>
            <w:r>
              <w:rPr>
                <w:rFonts w:ascii="Arial" w:cs="Arial" w:eastAsia="Arial" w:hAnsi="Arial"/>
                <w:sz w:val="20"/>
                <w:szCs w:val="20"/>
                <w:color w:val="auto"/>
              </w:rPr>
              <w:t>725</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3/29/2020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Hilton Burlington</w:t>
            </w:r>
          </w:p>
        </w:tc>
        <w:tc>
          <w:tcPr>
            <w:tcW w:w="1360" w:type="dxa"/>
            <w:vAlign w:val="bottom"/>
          </w:tcPr>
          <w:p>
            <w:pPr>
              <w:jc w:val="right"/>
              <w:spacing w:after="0"/>
              <w:rPr>
                <w:sz w:val="20"/>
                <w:szCs w:val="20"/>
                <w:color w:val="auto"/>
              </w:rPr>
            </w:pPr>
            <w:r>
              <w:rPr>
                <w:rFonts w:ascii="Arial" w:cs="Arial" w:eastAsia="Arial" w:hAnsi="Arial"/>
                <w:sz w:val="20"/>
                <w:szCs w:val="20"/>
                <w:color w:val="auto"/>
              </w:rPr>
              <w:t>258</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3/31/2020</w:t>
            </w:r>
          </w:p>
        </w:tc>
      </w:tr>
      <w:tr>
        <w:trPr>
          <w:trHeight w:val="284"/>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Hotel Palomar Phoenix</w:t>
            </w:r>
          </w:p>
        </w:tc>
        <w:tc>
          <w:tcPr>
            <w:tcW w:w="1360" w:type="dxa"/>
            <w:vAlign w:val="bottom"/>
          </w:tcPr>
          <w:p>
            <w:pPr>
              <w:jc w:val="right"/>
              <w:spacing w:after="0"/>
              <w:rPr>
                <w:sz w:val="20"/>
                <w:szCs w:val="20"/>
                <w:color w:val="auto"/>
              </w:rPr>
            </w:pPr>
            <w:r>
              <w:rPr>
                <w:rFonts w:ascii="Arial" w:cs="Arial" w:eastAsia="Arial" w:hAnsi="Arial"/>
                <w:sz w:val="20"/>
                <w:szCs w:val="20"/>
                <w:color w:val="auto"/>
              </w:rPr>
              <w:t>242</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3/31/2020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Orchards Inn Sedona</w:t>
            </w:r>
          </w:p>
        </w:tc>
        <w:tc>
          <w:tcPr>
            <w:tcW w:w="1360" w:type="dxa"/>
            <w:vAlign w:val="bottom"/>
          </w:tcPr>
          <w:p>
            <w:pPr>
              <w:jc w:val="right"/>
              <w:spacing w:after="0"/>
              <w:rPr>
                <w:sz w:val="20"/>
                <w:szCs w:val="20"/>
                <w:color w:val="auto"/>
              </w:rPr>
            </w:pPr>
            <w:r>
              <w:rPr>
                <w:rFonts w:ascii="Arial" w:cs="Arial" w:eastAsia="Arial" w:hAnsi="Arial"/>
                <w:sz w:val="20"/>
                <w:szCs w:val="20"/>
                <w:color w:val="auto"/>
              </w:rPr>
              <w:t>70</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3/31/2020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The Gwen Chicago</w:t>
            </w:r>
          </w:p>
        </w:tc>
        <w:tc>
          <w:tcPr>
            <w:tcW w:w="1360" w:type="dxa"/>
            <w:vAlign w:val="bottom"/>
          </w:tcPr>
          <w:p>
            <w:pPr>
              <w:jc w:val="right"/>
              <w:spacing w:after="0"/>
              <w:rPr>
                <w:sz w:val="20"/>
                <w:szCs w:val="20"/>
                <w:color w:val="auto"/>
              </w:rPr>
            </w:pPr>
            <w:r>
              <w:rPr>
                <w:rFonts w:ascii="Arial" w:cs="Arial" w:eastAsia="Arial" w:hAnsi="Arial"/>
                <w:sz w:val="20"/>
                <w:szCs w:val="20"/>
                <w:color w:val="auto"/>
              </w:rPr>
              <w:t>311</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3/31/2020</w:t>
            </w:r>
          </w:p>
        </w:tc>
      </w:tr>
      <w:tr>
        <w:trPr>
          <w:trHeight w:val="284"/>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Renaissance Charleston</w:t>
            </w:r>
          </w:p>
        </w:tc>
        <w:tc>
          <w:tcPr>
            <w:tcW w:w="1360" w:type="dxa"/>
            <w:vAlign w:val="bottom"/>
          </w:tcPr>
          <w:p>
            <w:pPr>
              <w:jc w:val="right"/>
              <w:spacing w:after="0"/>
              <w:rPr>
                <w:sz w:val="20"/>
                <w:szCs w:val="20"/>
                <w:color w:val="auto"/>
              </w:rPr>
            </w:pPr>
            <w:r>
              <w:rPr>
                <w:rFonts w:ascii="Arial" w:cs="Arial" w:eastAsia="Arial" w:hAnsi="Arial"/>
                <w:sz w:val="20"/>
                <w:szCs w:val="20"/>
                <w:color w:val="auto"/>
              </w:rPr>
              <w:t>166</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4/6/2020</w:t>
            </w:r>
          </w:p>
        </w:tc>
      </w:tr>
      <w:tr>
        <w:trPr>
          <w:trHeight w:val="283"/>
        </w:trPr>
        <w:tc>
          <w:tcPr>
            <w:tcW w:w="1020" w:type="dxa"/>
            <w:vAlign w:val="bottom"/>
          </w:tcPr>
          <w:p>
            <w:pPr>
              <w:spacing w:after="0"/>
              <w:rPr>
                <w:sz w:val="24"/>
                <w:szCs w:val="24"/>
                <w:color w:val="auto"/>
              </w:rPr>
            </w:pPr>
          </w:p>
        </w:tc>
        <w:tc>
          <w:tcPr>
            <w:tcW w:w="6280" w:type="dxa"/>
            <w:vAlign w:val="bottom"/>
            <w:gridSpan w:val="2"/>
          </w:tcPr>
          <w:p>
            <w:pPr>
              <w:ind w:left="20"/>
              <w:spacing w:after="0"/>
              <w:rPr>
                <w:sz w:val="20"/>
                <w:szCs w:val="20"/>
                <w:color w:val="auto"/>
              </w:rPr>
            </w:pPr>
            <w:r>
              <w:rPr>
                <w:rFonts w:ascii="Arial" w:cs="Arial" w:eastAsia="Arial" w:hAnsi="Arial"/>
                <w:sz w:val="20"/>
                <w:szCs w:val="20"/>
                <w:color w:val="auto"/>
              </w:rPr>
              <w:t>Chicago Marriott Downtown</w:t>
            </w:r>
          </w:p>
        </w:tc>
        <w:tc>
          <w:tcPr>
            <w:tcW w:w="1360" w:type="dxa"/>
            <w:vAlign w:val="bottom"/>
          </w:tcPr>
          <w:p>
            <w:pPr>
              <w:jc w:val="right"/>
              <w:spacing w:after="0"/>
              <w:rPr>
                <w:sz w:val="20"/>
                <w:szCs w:val="20"/>
                <w:color w:val="auto"/>
              </w:rPr>
            </w:pPr>
            <w:r>
              <w:rPr>
                <w:rFonts w:ascii="Arial" w:cs="Arial" w:eastAsia="Arial" w:hAnsi="Arial"/>
                <w:sz w:val="20"/>
                <w:szCs w:val="20"/>
                <w:color w:val="auto"/>
              </w:rPr>
              <w:t>1,200</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4/10/2020</w:t>
            </w:r>
          </w:p>
        </w:tc>
      </w:tr>
    </w:tbl>
    <w:p>
      <w:pPr>
        <w:spacing w:after="0" w:line="2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timing of re-opening these hotels will depend primarily on federal, state, and local government guidance, health official recommendations and market demand. The Company currently anticipates phased re-openings will start for the majority of these hotels this summer. The Company expects lodging demand will first return for the leisure segment, followed by business transient and then by the group segment. As demand slowly returns, the Company will continue to aggressively asset manage its hotels and carefully assess staffing needs, cleanliness and safety protocols, business mix and other initiatives.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Expenditures</w:t>
      </w:r>
    </w:p>
    <w:p>
      <w:pPr>
        <w:spacing w:after="0" w:line="23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Company invested approximately $19.6 million in capital improvements at its operating hotels during the three months ended March 31, 2020. Additionally, the Company spent approximately $29.2 million on the rebuild of Frenchman's Reef during the three months ended March 31, 2020. Due to the COVID-19 pandemic, the Company has canceled or deferred a significant portion of the planned capital improvements at its operating hotels. The Company currently expects to spend approximately $45 million on capital improvements at its operating hotels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339" w:right="359" w:bottom="1440" w:gutter="0" w:footer="0" w:header="0"/>
        </w:sectPr>
      </w:pPr>
    </w:p>
    <w:bookmarkStart w:id="7" w:name="page8"/>
    <w:bookmarkEnd w:id="7"/>
    <w:p>
      <w:pPr>
        <w:spacing w:after="0"/>
        <w:rPr>
          <w:sz w:val="20"/>
          <w:szCs w:val="20"/>
          <w:color w:val="auto"/>
        </w:rPr>
      </w:pPr>
      <w:r>
        <w:rPr>
          <w:rFonts w:ascii="Arial" w:cs="Arial" w:eastAsia="Arial" w:hAnsi="Arial"/>
          <w:sz w:val="19"/>
          <w:szCs w:val="19"/>
          <w:color w:val="auto"/>
        </w:rPr>
        <w:t>during 2020. The Company has paused the rebuild of Frenchman's Reef and currently expects construction to resume in 2021.</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w:t>
      </w:r>
    </w:p>
    <w:p>
      <w:pPr>
        <w:spacing w:after="0" w:line="235"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As of March 31, 2020, the Company had $387.8 million of unrestricted cash on hand and approximately $1.4 billion of total debt, which consisted of property-specific mortgage debt, $400.0 million of unsecured term loans and the Company has drawn all of its $400.0 million senior unsecured credit facility. The Company fully drew down its senior unsecured credit facility in March 2020 to preserve its liquidity until there is visibility on the depth and duration of the COVID-19 pandemic and demand improves. The Company has only one debt maturity in 2020, which is the mortgage loan secured by the Marriott Salt Lake City Downtown in the amount of $52.0 million. The Company has agreed to a term sheet to extend the maturity of this loan from November 2020 to January 2022, subject to due diligence and other customary conditions.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Although the Company is in compliance with the financial covenants of its debt as of March 31, 2020, the Company has determined that it is probable the dramatic decline in hotel earnings as a result of the impact on demand from COVID-19 will lead to its inability to comply with certain financial covenants under the credit agreements for its senior unsecured credit facility and unsecured term loans beginning with the quarter ending June 30, 2020. The Company is in negotiations with its lenders to obtain waivers prior to any violations. As of May 11, 2020, the Company has a term sheet for an amendment to its credit agreements that provides for covenant waivers through the first calendar quarter of 2021 and certain other modifications thereafter. The Company expects the amendment to be executed prior to any covenant violation, although it can provide no assurances that such amendment will be executed.</w:t>
      </w:r>
    </w:p>
    <w:p>
      <w:pPr>
        <w:spacing w:after="0" w:line="198"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Company has evaluated the current business environment and its effect on the Company's results of operations, the actions it has taken and the other options available and has determined that the Company has sufficient liquidity in the event of a prolonged decline in hotel demand without additional equity or debt financing or property sales.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35"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During the quarter, the Company repurchased 1.1 million shares of its common stock at an average price of $8.91 per share. These shares were all repurchased prior to March 4, 2020. The Company has suspended repurchases and anticipates the suspension will remain in effect for the remainder of 2020.</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Guidance</w:t>
      </w:r>
    </w:p>
    <w:p>
      <w:pPr>
        <w:spacing w:after="0" w:line="181"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Given the high level of uncertainty surrounding the COVID-19 pandemic and its effect on hotel demand, the Company previously withdrew full year 2020 guidance originally issued on February 20, 2020 and is not providing updated guidance at this time.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Call</w:t>
      </w:r>
    </w:p>
    <w:p>
      <w:pPr>
        <w:spacing w:after="0" w:line="18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The Company will host a conference call to discuss its first quarter results on Tuesday, May 12, 2020, at 9:00 a.m. Eastern Time (ET). To participate in the live call, investors are invited to dial 844-287-6622 (for domestic callers) or 530-379-4559 (for international callers). The participant passcode is 6693435. A live webcast of the call will be available via the investor relations section of DiamondRock Hospitality Company’s website at </w:t>
      </w:r>
      <w:r>
        <w:rPr>
          <w:rFonts w:ascii="Arial" w:cs="Arial" w:eastAsia="Arial" w:hAnsi="Arial"/>
          <w:sz w:val="18"/>
          <w:szCs w:val="18"/>
          <w:u w:val="single" w:color="auto"/>
          <w:color w:val="0000FF"/>
        </w:rPr>
        <w:t>www.drhc.com</w:t>
      </w:r>
      <w:r>
        <w:rPr>
          <w:rFonts w:ascii="Arial" w:cs="Arial" w:eastAsia="Arial" w:hAnsi="Arial"/>
          <w:sz w:val="18"/>
          <w:szCs w:val="18"/>
          <w:color w:val="auto"/>
        </w:rPr>
        <w:t xml:space="preserve"> or </w:t>
      </w:r>
      <w:r>
        <w:rPr>
          <w:rFonts w:ascii="Arial" w:cs="Arial" w:eastAsia="Arial" w:hAnsi="Arial"/>
          <w:sz w:val="18"/>
          <w:szCs w:val="18"/>
          <w:u w:val="single" w:color="auto"/>
          <w:color w:val="0000FF"/>
        </w:rPr>
        <w:t>www.earnings.com</w:t>
      </w:r>
      <w:r>
        <w:rPr>
          <w:rFonts w:ascii="Arial" w:cs="Arial" w:eastAsia="Arial" w:hAnsi="Arial"/>
          <w:sz w:val="18"/>
          <w:szCs w:val="18"/>
          <w:color w:val="auto"/>
        </w:rPr>
        <w:t>. A replay of the webcast will also be archived on the website for one week.</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Company</w:t>
      </w:r>
    </w:p>
    <w:p>
      <w:pPr>
        <w:spacing w:after="0" w:line="181"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DiamondRock Hospitality Company is a self-advised real estate investment trust (REIT) that is an owner of a leading portfolio of geographically diversified hotels concentrated in top gateway markets and destination resort locations. The Company owns 31 premium quality hotels with over 10,000 rooms. The Company has strategically positioned its hotels to be operated both under leading global brand families as well as unique boutique hotels in the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339" w:right="379" w:bottom="1440" w:gutter="0" w:footer="0" w:header="0"/>
        </w:sectPr>
      </w:pPr>
    </w:p>
    <w:bookmarkStart w:id="8" w:name="page9"/>
    <w:bookmarkEnd w:id="8"/>
    <w:p>
      <w:pPr>
        <w:ind w:right="360"/>
        <w:spacing w:after="0" w:line="260" w:lineRule="auto"/>
        <w:rPr>
          <w:sz w:val="20"/>
          <w:szCs w:val="20"/>
          <w:color w:val="auto"/>
        </w:rPr>
      </w:pPr>
      <w:r>
        <w:rPr>
          <w:rFonts w:ascii="Arial" w:cs="Arial" w:eastAsia="Arial" w:hAnsi="Arial"/>
          <w:sz w:val="20"/>
          <w:szCs w:val="20"/>
          <w:color w:val="auto"/>
        </w:rPr>
        <w:t xml:space="preserve">lifestyle segment. For further information on the Company and its portfolio, please visit DiamondRock Hospitality Company’s website at </w:t>
      </w:r>
      <w:r>
        <w:rPr>
          <w:rFonts w:ascii="Arial" w:cs="Arial" w:eastAsia="Arial" w:hAnsi="Arial"/>
          <w:sz w:val="20"/>
          <w:szCs w:val="20"/>
          <w:u w:val="single" w:color="auto"/>
          <w:color w:val="0000CC"/>
        </w:rPr>
        <w:t>www.drhc.com</w:t>
      </w:r>
      <w:r>
        <w:rPr>
          <w:rFonts w:ascii="Arial" w:cs="Arial" w:eastAsia="Arial" w:hAnsi="Arial"/>
          <w:sz w:val="20"/>
          <w:szCs w:val="20"/>
          <w:color w:val="000000"/>
        </w:rPr>
        <w:t>.</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This press release contains forward-looking statements within the meaning of federal securities laws and regulations. These forward-looking statements are identified by their use of terms and phrases such as “believe,” “expect,” “intend,” “project,” “forecast,” “plan”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including statements related to the expected duration of closure of Frenchman’s Reef. These risks include, but are not limited to: the adverse impact of the novel coronavirus (COVID-19) on the U.S., regional and global economies, travel, the hospitality industry, and the financial condition and results of operations of the Company and its hotels; national and local economic and business conditions, including the potential for additional terrorist attacks, that will affect occupancy rates at the Company’s hotels and the demand for hotel products and services; operating risks associated with the hotel business; risks associated with the level of the Company’s indebtedness and its ability to obtain covenant waivers on its credit agreements for its senior unsecured credit facility and unsecured term loans; relationships with property managers; the ability to compete effectively in areas such as access, location, quality of accommodations and room rate structures; changes in travel patterns, taxes and government regulations which influence or determine wages, prices, construction procedures and costs; and other risk factors contained in the Company’s filings with the Securities and Exchange Commission. Although the Company believes the expectations reflected in such forward-looking statements are based upon reasonable assumptions, it can give no assurance that the expectations will be attained or that any deviation will not be material. All information in this release is as of the date of this release, and the Company undertakes no obligation to update any forward-looking statement to conform the statement to actual results or changes in the Company’s expectations.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339" w:right="339" w:bottom="1440" w:gutter="0" w:footer="0" w:header="0"/>
        </w:sectPr>
      </w:pPr>
    </w:p>
    <w:bookmarkStart w:id="9" w:name="page10"/>
    <w:bookmarkEnd w:id="9"/>
    <w:p>
      <w:pPr>
        <w:ind w:left="3760"/>
        <w:spacing w:after="0"/>
        <w:rPr>
          <w:sz w:val="20"/>
          <w:szCs w:val="20"/>
          <w:color w:val="auto"/>
        </w:rPr>
      </w:pPr>
      <w:r>
        <w:rPr>
          <w:rFonts w:ascii="Arial" w:cs="Arial" w:eastAsia="Arial" w:hAnsi="Arial"/>
          <w:sz w:val="18"/>
          <w:szCs w:val="18"/>
          <w:b w:val="1"/>
          <w:bCs w:val="1"/>
          <w:color w:val="auto"/>
        </w:rPr>
        <w:t>DIAMONDROCK HOSPITALITY COMPANY</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 2020</w:t>
            </w:r>
          </w:p>
        </w:tc>
        <w:tc>
          <w:tcPr>
            <w:tcW w:w="14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33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3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(unaudited)</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3,047,009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3,026,769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97,538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98,145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57,268</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Due from hotel managers</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72,396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91,207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Prepaid and other assets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29,853</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387,825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122,524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3,671,041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3,425,766</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Mortgage and other debt, net of unamortized debt issuance costs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613,067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616,329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term loans, net of unamortized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398,770</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Senior unsecured credit facility</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1,090,099</w:t>
            </w:r>
          </w:p>
        </w:tc>
        <w:tc>
          <w:tcPr>
            <w:tcW w:w="0" w:type="dxa"/>
            <w:vAlign w:val="bottom"/>
          </w:tcPr>
          <w:p>
            <w:pPr>
              <w:spacing w:after="0"/>
              <w:rPr>
                <w:sz w:val="1"/>
                <w:szCs w:val="1"/>
                <w:color w:val="auto"/>
              </w:rPr>
            </w:pPr>
          </w:p>
        </w:tc>
      </w:tr>
      <w:tr>
        <w:trPr>
          <w:trHeight w:val="297"/>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related to key money, net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Unfavorable contract liabilities, net</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66,856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67,422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52,012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102,923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103,625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hotel managers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72,445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Distributions declared and unpaid</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25,815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Accounts payable and accrued expenses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78,807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81,944</w:t>
            </w:r>
          </w:p>
        </w:tc>
        <w:tc>
          <w:tcPr>
            <w:tcW w:w="0" w:type="dxa"/>
            <w:vAlign w:val="bottom"/>
          </w:tcPr>
          <w:p>
            <w:pPr>
              <w:spacing w:after="0"/>
              <w:rPr>
                <w:sz w:val="1"/>
                <w:szCs w:val="1"/>
                <w:color w:val="auto"/>
              </w:rPr>
            </w:pPr>
          </w:p>
        </w:tc>
      </w:tr>
      <w:tr>
        <w:trPr>
          <w:trHeight w:val="237"/>
        </w:trPr>
        <w:tc>
          <w:tcPr>
            <w:tcW w:w="73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1,794,444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1,504,704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w w:val="92"/>
              </w:rPr>
              <w:t>Preferred stock, $0.01 par value; 10,000,000 shares authorized; no shares issued and outstanding</w:t>
            </w:r>
          </w:p>
        </w:tc>
        <w:tc>
          <w:tcPr>
            <w:tcW w:w="26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Common stock, $0.01 par value; 400,000,000 shares authorized; 199,243,338 and 200,207,795</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shares issued and outstanding at March 31, 2020 and December 31, 2019,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2,079,534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2,089,349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(178,861)</w:t>
            </w:r>
          </w:p>
        </w:tc>
        <w:tc>
          <w:tcPr>
            <w:tcW w:w="0" w:type="dxa"/>
            <w:vAlign w:val="bottom"/>
          </w:tcPr>
          <w:p>
            <w:pPr>
              <w:spacing w:after="0"/>
              <w:rPr>
                <w:sz w:val="1"/>
                <w:szCs w:val="1"/>
                <w:color w:val="auto"/>
              </w:rPr>
            </w:pPr>
          </w:p>
        </w:tc>
      </w:tr>
      <w:tr>
        <w:trPr>
          <w:trHeight w:val="237"/>
        </w:trPr>
        <w:tc>
          <w:tcPr>
            <w:tcW w:w="732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1,868,106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1,912,490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37"/>
        </w:trPr>
        <w:tc>
          <w:tcPr>
            <w:tcW w:w="732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1,876,597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1,921,062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3,671,041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3,425,766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80" w:right="200" w:hanging="172"/>
        <w:spacing w:after="0" w:line="246" w:lineRule="auto"/>
        <w:tabs>
          <w:tab w:leader="none" w:pos="171"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Includes $10.7 million of insurance receivables as of December 31, 2019, $5.3 million and $9.8 million of prepaid expenses and $13.9 million and $9.4 million of other assets as of March 31, 2020 and December 31, 2019, respectively.</w:t>
      </w:r>
    </w:p>
    <w:p>
      <w:pPr>
        <w:spacing w:after="0" w:line="166" w:lineRule="exact"/>
        <w:rPr>
          <w:rFonts w:ascii="Arial" w:cs="Arial" w:eastAsia="Arial" w:hAnsi="Arial"/>
          <w:sz w:val="19"/>
          <w:szCs w:val="19"/>
          <w:color w:val="auto"/>
          <w:vertAlign w:val="superscript"/>
        </w:rPr>
      </w:pPr>
    </w:p>
    <w:p>
      <w:pPr>
        <w:ind w:left="180" w:right="820" w:hanging="172"/>
        <w:spacing w:after="0" w:line="246" w:lineRule="auto"/>
        <w:tabs>
          <w:tab w:leader="none" w:pos="171"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Includes $28.7 million of deferred tax liabilities, $14.1 million and $18.9 million of accrued property taxes, $14.1 million and $13.1 million of accrued capital expenditures and $21.9 million and $21.2 million of other accrued liabilities as of March 31, 2020 and December 31, 2019, respectively.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439"/>
        <w:spacing w:after="0"/>
        <w:rPr>
          <w:sz w:val="20"/>
          <w:szCs w:val="20"/>
          <w:color w:val="auto"/>
        </w:rPr>
      </w:pPr>
      <w:r>
        <w:rPr>
          <w:rFonts w:ascii="Arial" w:cs="Arial" w:eastAsia="Arial" w:hAnsi="Arial"/>
          <w:sz w:val="18"/>
          <w:szCs w:val="18"/>
          <w:b w:val="1"/>
          <w:bCs w:val="1"/>
          <w:color w:val="auto"/>
        </w:rPr>
        <w:t>DIAMONDROCK HOSPITALITY COMPANY</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6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Rooms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111,801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136,653</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43,905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50,465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14,289</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15,257</w:t>
            </w:r>
          </w:p>
        </w:tc>
        <w:tc>
          <w:tcPr>
            <w:tcW w:w="0" w:type="dxa"/>
            <w:vAlign w:val="bottom"/>
          </w:tcPr>
          <w:p>
            <w:pPr>
              <w:spacing w:after="0"/>
              <w:rPr>
                <w:sz w:val="1"/>
                <w:szCs w:val="1"/>
                <w:color w:val="auto"/>
              </w:rPr>
            </w:pPr>
          </w:p>
        </w:tc>
      </w:tr>
      <w:tr>
        <w:trPr>
          <w:trHeight w:val="237"/>
        </w:trPr>
        <w:tc>
          <w:tcPr>
            <w:tcW w:w="676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169,995</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202,375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Rooms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35,653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38,819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33,150</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Management fees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3,477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fees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Other hotel expenses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77,843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75,479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28,996</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Corporate expenses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5,557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interruption insurance income</w:t>
            </w:r>
          </w:p>
        </w:tc>
        <w:tc>
          <w:tcPr>
            <w:tcW w:w="2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37"/>
        </w:trPr>
        <w:tc>
          <w:tcPr>
            <w:tcW w:w="6760" w:type="dxa"/>
            <w:vAlign w:val="bottom"/>
          </w:tcPr>
          <w:p>
            <w:pPr>
              <w:ind w:left="160"/>
              <w:spacing w:after="0"/>
              <w:rPr>
                <w:sz w:val="20"/>
                <w:szCs w:val="20"/>
                <w:color w:val="auto"/>
              </w:rPr>
            </w:pPr>
            <w:r>
              <w:rPr>
                <w:rFonts w:ascii="Arial" w:cs="Arial" w:eastAsia="Arial" w:hAnsi="Arial"/>
                <w:sz w:val="18"/>
                <w:szCs w:val="18"/>
                <w:color w:val="auto"/>
              </w:rPr>
              <w:t>Total operating expenses, net</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189,513</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185,885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60" w:type="dxa"/>
            <w:vAlign w:val="bottom"/>
          </w:tcPr>
          <w:p>
            <w:pPr>
              <w:ind w:left="20"/>
              <w:spacing w:after="0"/>
              <w:rPr>
                <w:sz w:val="20"/>
                <w:szCs w:val="20"/>
                <w:color w:val="auto"/>
              </w:rPr>
            </w:pPr>
            <w:r>
              <w:rPr>
                <w:rFonts w:ascii="Arial" w:cs="Arial" w:eastAsia="Arial" w:hAnsi="Arial"/>
                <w:sz w:val="18"/>
                <w:szCs w:val="18"/>
                <w:color w:val="auto"/>
              </w:rPr>
              <w:t>Interest and other expense (income), net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37"/>
        </w:trPr>
        <w:tc>
          <w:tcPr>
            <w:tcW w:w="6760" w:type="dxa"/>
            <w:vAlign w:val="bottom"/>
          </w:tcPr>
          <w:p>
            <w:pPr>
              <w:ind w:left="100"/>
              <w:spacing w:after="0"/>
              <w:rPr>
                <w:sz w:val="20"/>
                <w:szCs w:val="20"/>
                <w:color w:val="auto"/>
              </w:rPr>
            </w:pPr>
            <w:r>
              <w:rPr>
                <w:rFonts w:ascii="Arial" w:cs="Arial" w:eastAsia="Arial" w:hAnsi="Arial"/>
                <w:sz w:val="18"/>
                <w:szCs w:val="18"/>
                <w:color w:val="auto"/>
              </w:rPr>
              <w:t>Total other expenses, net</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21,617</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(41,135)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57"/>
        </w:trPr>
        <w:tc>
          <w:tcPr>
            <w:tcW w:w="67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6,443</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57"/>
        </w:trPr>
        <w:tc>
          <w:tcPr>
            <w:tcW w:w="6760" w:type="dxa"/>
            <w:vAlign w:val="bottom"/>
          </w:tcPr>
          <w:p>
            <w:pPr>
              <w:ind w:left="20"/>
              <w:spacing w:after="0"/>
              <w:rPr>
                <w:sz w:val="20"/>
                <w:szCs w:val="20"/>
                <w:color w:val="auto"/>
              </w:rPr>
            </w:pPr>
            <w:r>
              <w:rPr>
                <w:rFonts w:ascii="Arial" w:cs="Arial" w:eastAsia="Arial" w:hAnsi="Arial"/>
                <w:sz w:val="18"/>
                <w:szCs w:val="18"/>
                <w:color w:val="auto"/>
              </w:rPr>
              <w:t>Less: Net loss (income) attributable to noncontrolling interests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to common 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(34,559)</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(Loss) 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6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earnings per share available to common stockholders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tcPr>
          <w:p>
            <w:pPr>
              <w:ind w:left="20"/>
              <w:spacing w:after="0"/>
              <w:rPr>
                <w:sz w:val="20"/>
                <w:szCs w:val="20"/>
                <w:color w:val="auto"/>
              </w:rPr>
            </w:pPr>
            <w:r>
              <w:rPr>
                <w:rFonts w:ascii="Arial" w:cs="Arial" w:eastAsia="Arial" w:hAnsi="Arial"/>
                <w:sz w:val="18"/>
                <w:szCs w:val="18"/>
                <w:color w:val="auto"/>
              </w:rPr>
              <w:t>Net (loss) earnings per share available to common stockholders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(0.17)</w:t>
            </w:r>
          </w:p>
        </w:tc>
        <w:tc>
          <w:tcPr>
            <w:tcW w:w="2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Weighted-average number of common shares outstanding:</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201,207,835</w:t>
            </w: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202,817,124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201,207,835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203,537,829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740" w:top="337"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60"/>
          </w:cols>
          <w:pgMar w:left="740" w:top="337" w:right="11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right="160" w:firstLine="324"/>
        <w:spacing w:after="0" w:line="301" w:lineRule="auto"/>
        <w:rPr>
          <w:sz w:val="20"/>
          <w:szCs w:val="20"/>
          <w:color w:val="auto"/>
        </w:rPr>
      </w:pPr>
      <w:r>
        <w:rPr>
          <w:rFonts w:ascii="Arial" w:cs="Arial" w:eastAsia="Arial" w:hAnsi="Arial"/>
          <w:sz w:val="16"/>
          <w:szCs w:val="16"/>
          <w:color w:val="auto"/>
        </w:rPr>
        <w:t>We use the following non-GAAP financial measures that we believe are useful to investors as key measures of our operating performance: EBITDA, EBITDA</w:t>
      </w:r>
      <w:r>
        <w:rPr>
          <w:rFonts w:ascii="Arial" w:cs="Arial" w:eastAsia="Arial" w:hAnsi="Arial"/>
          <w:sz w:val="16"/>
          <w:szCs w:val="16"/>
          <w:i w:val="1"/>
          <w:iCs w:val="1"/>
          <w:color w:val="auto"/>
        </w:rPr>
        <w:t>re</w:t>
      </w:r>
      <w:r>
        <w:rPr>
          <w:rFonts w:ascii="Arial" w:cs="Arial" w:eastAsia="Arial" w:hAnsi="Arial"/>
          <w:sz w:val="16"/>
          <w:szCs w:val="16"/>
          <w:color w:val="auto"/>
        </w:rPr>
        <w:t>, Adjusted EBITDA, Hotel EBITDA, Hotel Adjusted EBITDA, FFO and Adjusted FFO. These measures should not be considered in isolation or as a substitute for measures of performance in accordance with U.S. GAAP. EBITDA, EBITDA</w:t>
      </w:r>
      <w:r>
        <w:rPr>
          <w:rFonts w:ascii="Arial" w:cs="Arial" w:eastAsia="Arial" w:hAnsi="Arial"/>
          <w:sz w:val="16"/>
          <w:szCs w:val="16"/>
          <w:i w:val="1"/>
          <w:iCs w:val="1"/>
          <w:color w:val="auto"/>
        </w:rPr>
        <w:t>re</w:t>
      </w:r>
      <w:r>
        <w:rPr>
          <w:rFonts w:ascii="Arial" w:cs="Arial" w:eastAsia="Arial" w:hAnsi="Arial"/>
          <w:sz w:val="16"/>
          <w:szCs w:val="16"/>
          <w:color w:val="auto"/>
        </w:rPr>
        <w:t>, Adjusted EBITDA, Hotel EBITDA, Hotel Adjusted EBITDA, FFO and Adjusted FFO, as calculated by us, may not be comparable to other companies that do not define such terms exactly as the Company.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and Limitations of Non-GAAP Financial Measures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management and Board of Directors use EBITDA, EBITDA</w:t>
      </w:r>
      <w:r>
        <w:rPr>
          <w:rFonts w:ascii="Arial" w:cs="Arial" w:eastAsia="Arial" w:hAnsi="Arial"/>
          <w:sz w:val="17"/>
          <w:szCs w:val="17"/>
          <w:i w:val="1"/>
          <w:iCs w:val="1"/>
          <w:color w:val="auto"/>
        </w:rPr>
        <w:t>re</w:t>
      </w:r>
      <w:r>
        <w:rPr>
          <w:rFonts w:ascii="Arial" w:cs="Arial" w:eastAsia="Arial" w:hAnsi="Arial"/>
          <w:sz w:val="17"/>
          <w:szCs w:val="17"/>
          <w:color w:val="auto"/>
        </w:rPr>
        <w:t>, Adjusted EBITDA, Hotel EBITDA, Hotel Adjusted EBITDA, FFO and Adjusted FFO to evaluate the performance of our hotels and to facilitate comparisons between us and other lodging REITs, hotel owners who are not REITs and other capital intensive companies. The use of these non-GAAP financial measures has certain limitations. These non-GAAP financial measures as presented by us, may not be comparable to non-GAAP financial measures as calculated by other real estate companies. These measures do not reflect certain expenses or expenditures that we incurred and will incur, such as depreciation, interest and capital expenditures. We compensate for these limitations by separately considering the impact of these excluded items to the extent they are material to operating decisions or assessments of our operating performance. Our reconciliations to the most comparable U.S. GAAP financial measures, and our consolidated statements of operations and cash flows, include interest expense, capital expenditures, and other excluded items, all of which should be considered when evaluating our performance, as well as the usefulness of our non-GAAP financial measures.</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These non-GAAP financial measures are used in addition to and in conjunction with results presented in accordance with U.S. GAAP. They should not be considered as alternatives to operating profit, cash flow from operations, or any other operating performance measure prescribed by U.S. GAAP. These non-GAAP financial measures reflect additional ways of viewing our operations that we believe, when viewed with our U.S. GAAP results and the reconciliations to the corresponding U.S. GAAP financial measures, provide a more complete understanding of factors and trends affecting our business than could be obtained absent this disclosure. We strongly encourage investors to review our financial information in its entirety and not to rely on a single financial measure.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EBITDA, EBITDAre and FFO</w:t>
      </w:r>
    </w:p>
    <w:p>
      <w:pPr>
        <w:spacing w:after="0" w:line="2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EBITDA represents net income (calculated in accordance with U.S. GAAP) excluding: (1) interest expense; (2) provision for income taxes, including income taxes applicable to sale of assets; and (3) depreciation and amortization. The Company computes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in accordance with the National Association of Real Estate Investment Trusts ("Nareit") guidelines, as defined in its September 2017 white paper "Earnings Before Interest, Taxes, Depreciation and Amortization for Real Estate."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represents net income (calculated in accordance with U.S. GAAP) adjusted for: (1) interest expense; (2) provision for income taxes, including income taxes applicable to sale of assets; (3) depreciation and amortization; (4) gains or losses on the disposition of depreciated property including gains or losses on change of control; (5) impairment write-downs of depreciated property and of investments in unconsolidated affiliates caused by a decrease in value of depreciated property in the affiliate; and (6) adjustments to reflect the entity's share of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of unconsolidated affiliates.</w:t>
      </w:r>
    </w:p>
    <w:p>
      <w:pPr>
        <w:spacing w:after="0" w:line="192"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believe EBITDA and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are useful to an investor in evaluating our operating performance because they help investors evaluate and compare the results of our operations from period to period by removing the impact of our capital structure (primarily interest expense) and our asset base (primarily depreciation and amortization, and in the case of EBITDA</w:t>
      </w:r>
      <w:r>
        <w:rPr>
          <w:rFonts w:ascii="Arial" w:cs="Arial" w:eastAsia="Arial" w:hAnsi="Arial"/>
          <w:sz w:val="17"/>
          <w:szCs w:val="17"/>
          <w:i w:val="1"/>
          <w:iCs w:val="1"/>
          <w:color w:val="auto"/>
        </w:rPr>
        <w:t>re</w:t>
      </w:r>
      <w:r>
        <w:rPr>
          <w:rFonts w:ascii="Arial" w:cs="Arial" w:eastAsia="Arial" w:hAnsi="Arial"/>
          <w:sz w:val="17"/>
          <w:szCs w:val="17"/>
          <w:color w:val="auto"/>
        </w:rPr>
        <w:t>, impairment and gains or losses on dispositions of depreciated property) from our operating results. In addition, covenants included in our debt agreements use EBITDA as a measure of financial compliance. We also use EBITDA and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as measures in determining the value of hotel acquisitions and dispositions.</w:t>
      </w:r>
    </w:p>
    <w:p>
      <w:pPr>
        <w:spacing w:after="0" w:line="176"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 Company computes FFO in accordance with standards established by the Nareit, which defines FFO as net income determined in accordance with U.S. GAAP, excluding gains or losses from sales of properties and impairment losses, plus real estate related depreciation and amortization. The Company believes that the presentation of FFO provides useful information to investors regarding its operating performance because it is a measure of the Company's operations without regard to specified non-cash items, such as real estate related depreciation and amortization and gains or losses on the sale of assets. The Company also uses FFO as one measure in assessing its operating results.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337" w:right="3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b w:val="1"/>
          <w:bCs w:val="1"/>
          <w:i w:val="1"/>
          <w:iCs w:val="1"/>
          <w:color w:val="auto"/>
        </w:rPr>
        <w:t>Hotel EBITDA</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Hotel EBITDA represents net income excluding: (1) interest expense, (2) income taxes, (3) depreciation and amortization, (4) corporate general and administrative expenses (shown as corporate expenses on the consolidated statements of operations), and (5) hotel acquisition costs. We believe that Hotel EBITDA provides our investors a useful financial measure to evaluate our hotel operating performance, excluding the impact of our capital structure (primarily interest), our asset base (primarily depreciation and amortization), and our corporate-level expenses (corporate expenses and hotel acquisition costs). With respect to Hotel EBITDA, we believe that excluding the effect of corporate-level expenses provides a more complete understanding of the operating results over which individual hotels and third-party management companies have direct control. We believe property-level results provide investors with supplemental information on the ongoing operational performance of our hotels and effectiveness of the third-party management companies operating our business on a property-level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Adjustments to EBITDAre, FFO and Hotel EBITDA</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adjust EBITDA</w:t>
      </w:r>
      <w:r>
        <w:rPr>
          <w:rFonts w:ascii="Arial" w:cs="Arial" w:eastAsia="Arial" w:hAnsi="Arial"/>
          <w:sz w:val="17"/>
          <w:szCs w:val="17"/>
          <w:i w:val="1"/>
          <w:iCs w:val="1"/>
          <w:color w:val="auto"/>
        </w:rPr>
        <w:t>re</w:t>
      </w:r>
      <w:r>
        <w:rPr>
          <w:rFonts w:ascii="Arial" w:cs="Arial" w:eastAsia="Arial" w:hAnsi="Arial"/>
          <w:sz w:val="17"/>
          <w:szCs w:val="17"/>
          <w:color w:val="auto"/>
        </w:rPr>
        <w:t>, FFO and Hotel EBITDA when evaluating our performance because we believe that the exclusion of certain additional items described below provides useful supplemental information to investors regarding our ongoing operating performance and that the presentation of Adjusted EBITDA, Adjusted FFO and Hotel Adjusted EBITDA when combined with U.S. GAAP net income, EBITDA</w:t>
      </w:r>
      <w:r>
        <w:rPr>
          <w:rFonts w:ascii="Arial" w:cs="Arial" w:eastAsia="Arial" w:hAnsi="Arial"/>
          <w:sz w:val="17"/>
          <w:szCs w:val="17"/>
          <w:i w:val="1"/>
          <w:iCs w:val="1"/>
          <w:color w:val="auto"/>
        </w:rPr>
        <w:t>re</w:t>
      </w:r>
      <w:r>
        <w:rPr>
          <w:rFonts w:ascii="Arial" w:cs="Arial" w:eastAsia="Arial" w:hAnsi="Arial"/>
          <w:sz w:val="17"/>
          <w:szCs w:val="17"/>
          <w:color w:val="auto"/>
        </w:rPr>
        <w:t>, FFO and Hotel EBITDA, is beneficial to an investor's complete understanding of our consolidated and property-level operating performance. Hotel Adjusted EBITDA margins are calculated as Hotel Adjusted EBITDA divided by total hotel revenues. We adjust EBITDA</w:t>
      </w:r>
      <w:r>
        <w:rPr>
          <w:rFonts w:ascii="Arial" w:cs="Arial" w:eastAsia="Arial" w:hAnsi="Arial"/>
          <w:sz w:val="17"/>
          <w:szCs w:val="17"/>
          <w:i w:val="1"/>
          <w:iCs w:val="1"/>
          <w:color w:val="auto"/>
        </w:rPr>
        <w:t>re</w:t>
      </w:r>
      <w:r>
        <w:rPr>
          <w:rFonts w:ascii="Arial" w:cs="Arial" w:eastAsia="Arial" w:hAnsi="Arial"/>
          <w:sz w:val="17"/>
          <w:szCs w:val="17"/>
          <w:color w:val="auto"/>
        </w:rPr>
        <w:t>, FFO and Hotel EBITDA for the following items:</w:t>
      </w:r>
    </w:p>
    <w:p>
      <w:pPr>
        <w:spacing w:after="0" w:line="176" w:lineRule="exact"/>
        <w:rPr>
          <w:sz w:val="20"/>
          <w:szCs w:val="20"/>
          <w:color w:val="auto"/>
        </w:rPr>
      </w:pPr>
    </w:p>
    <w:p>
      <w:pPr>
        <w:ind w:left="820" w:hanging="164"/>
        <w:spacing w:after="0" w:line="25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Non-Cash Lease Expense and Other Amortization</w:t>
      </w:r>
      <w:r>
        <w:rPr>
          <w:rFonts w:ascii="Arial" w:cs="Arial" w:eastAsia="Arial" w:hAnsi="Arial"/>
          <w:sz w:val="18"/>
          <w:szCs w:val="18"/>
          <w:color w:val="auto"/>
        </w:rPr>
        <w:t>: We exclude the non-cash expense incurred from the straight line recognition of expense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ground leases and other contractual obligations and the non-cash amortization of our favorable and unfavorable contracts, originally recorded in conjunction with certain hotel acquisitions. We exclude these non-cash items because they do not reflect the actual cash amounts due to the respective lessors and service providers in the current period and they are of lesser significance in evaluating our actual performance for that period.</w:t>
      </w:r>
    </w:p>
    <w:p>
      <w:pPr>
        <w:spacing w:after="0" w:line="187" w:lineRule="exact"/>
        <w:rPr>
          <w:rFonts w:ascii="Arial" w:cs="Arial" w:eastAsia="Arial" w:hAnsi="Arial"/>
          <w:sz w:val="18"/>
          <w:szCs w:val="18"/>
          <w:color w:val="auto"/>
        </w:rPr>
      </w:pPr>
    </w:p>
    <w:p>
      <w:pPr>
        <w:ind w:left="820" w:right="60" w:hanging="164"/>
        <w:spacing w:after="0" w:line="259"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Cumulative Effect of a Change in Accounting Principle</w:t>
      </w:r>
      <w:r>
        <w:rPr>
          <w:rFonts w:ascii="Arial" w:cs="Arial" w:eastAsia="Arial" w:hAnsi="Arial"/>
          <w:sz w:val="18"/>
          <w:szCs w:val="18"/>
          <w:color w:val="auto"/>
        </w:rPr>
        <w:t>: The Financial Accounting Standards Board promulgates new accounting standards that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or permit the consolidated statement of operations to reflect the cumulative effect of a change in accounting principle. We exclude the effect of these adjustments, which include the accounting impact from prior periods, because they do not reflect the Company’s actual underlying performance for the current period.</w:t>
      </w:r>
    </w:p>
    <w:p>
      <w:pPr>
        <w:spacing w:after="0" w:line="186" w:lineRule="exact"/>
        <w:rPr>
          <w:rFonts w:ascii="Arial" w:cs="Arial" w:eastAsia="Arial" w:hAnsi="Arial"/>
          <w:sz w:val="18"/>
          <w:szCs w:val="18"/>
          <w:color w:val="auto"/>
        </w:rPr>
      </w:pPr>
    </w:p>
    <w:p>
      <w:pPr>
        <w:ind w:left="820" w:right="120" w:hanging="164"/>
        <w:spacing w:after="0" w:line="26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Gains or Losses from Early Extinguishment of Debt</w:t>
      </w:r>
      <w:r>
        <w:rPr>
          <w:rFonts w:ascii="Arial" w:cs="Arial" w:eastAsia="Arial" w:hAnsi="Arial"/>
          <w:sz w:val="18"/>
          <w:szCs w:val="18"/>
          <w:color w:val="auto"/>
        </w:rPr>
        <w:t>: We exclude the effect of gains or losses recorded on the early extinguishment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these gains or losses result from transaction activity related to the Company’s capital structure that we believe are not indicative of the ongoing operating performance of the Company or our hotels.</w:t>
      </w:r>
    </w:p>
    <w:p>
      <w:pPr>
        <w:spacing w:after="0" w:line="183" w:lineRule="exact"/>
        <w:rPr>
          <w:rFonts w:ascii="Arial" w:cs="Arial" w:eastAsia="Arial" w:hAnsi="Arial"/>
          <w:sz w:val="18"/>
          <w:szCs w:val="18"/>
          <w:color w:val="auto"/>
        </w:rPr>
      </w:pPr>
    </w:p>
    <w:p>
      <w:pPr>
        <w:ind w:left="820" w:right="480" w:hanging="164"/>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Hotel Acquisition Costs</w:t>
      </w:r>
      <w:r>
        <w:rPr>
          <w:rFonts w:ascii="Arial" w:cs="Arial" w:eastAsia="Arial" w:hAnsi="Arial"/>
          <w:sz w:val="18"/>
          <w:szCs w:val="18"/>
          <w:color w:val="auto"/>
        </w:rPr>
        <w:t>: We exclude hotel acquisition costs expensed during the period because we believe these transaction costs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reflective of the ongoing performance of the Company or our hotels.</w:t>
      </w:r>
    </w:p>
    <w:p>
      <w:pPr>
        <w:spacing w:after="0" w:line="170" w:lineRule="exact"/>
        <w:rPr>
          <w:rFonts w:ascii="Arial" w:cs="Arial" w:eastAsia="Arial" w:hAnsi="Arial"/>
          <w:sz w:val="18"/>
          <w:szCs w:val="18"/>
          <w:color w:val="auto"/>
        </w:rPr>
      </w:pPr>
    </w:p>
    <w:p>
      <w:pPr>
        <w:ind w:left="820" w:right="280" w:hanging="164"/>
        <w:spacing w:after="0" w:line="26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Severance Costs</w:t>
      </w:r>
      <w:r>
        <w:rPr>
          <w:rFonts w:ascii="Arial" w:cs="Arial" w:eastAsia="Arial" w:hAnsi="Arial"/>
          <w:sz w:val="18"/>
          <w:szCs w:val="18"/>
          <w:color w:val="auto"/>
        </w:rPr>
        <w:t>: We exclude corporate severance costs, or reversals thereof, incurred with the termination of corporate-level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costs incurred at our hotels related to lease terminations or structured severance programs because we believe these costs do not reflect the ongoing performance of the Company or our hotels.</w:t>
      </w:r>
    </w:p>
    <w:p>
      <w:pPr>
        <w:spacing w:after="0" w:line="183" w:lineRule="exact"/>
        <w:rPr>
          <w:rFonts w:ascii="Arial" w:cs="Arial" w:eastAsia="Arial" w:hAnsi="Arial"/>
          <w:sz w:val="18"/>
          <w:szCs w:val="18"/>
          <w:color w:val="auto"/>
        </w:rPr>
      </w:pPr>
    </w:p>
    <w:p>
      <w:pPr>
        <w:ind w:left="820" w:right="120" w:hanging="164"/>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Hotel Manager Transition Items</w:t>
      </w:r>
      <w:r>
        <w:rPr>
          <w:rFonts w:ascii="Arial" w:cs="Arial" w:eastAsia="Arial" w:hAnsi="Arial"/>
          <w:sz w:val="18"/>
          <w:szCs w:val="18"/>
          <w:color w:val="auto"/>
        </w:rPr>
        <w:t>: We exclude the transition items associated with a change in hotel manager because we believe these items do</w:t>
      </w:r>
      <w:r>
        <w:rPr>
          <w:rFonts w:ascii="Arial" w:cs="Arial" w:eastAsia="Arial" w:hAnsi="Arial"/>
          <w:sz w:val="18"/>
          <w:szCs w:val="18"/>
          <w:i w:val="1"/>
          <w:iCs w:val="1"/>
          <w:color w:val="auto"/>
        </w:rPr>
        <w:t xml:space="preserve"> </w:t>
      </w:r>
      <w:r>
        <w:rPr>
          <w:rFonts w:ascii="Arial" w:cs="Arial" w:eastAsia="Arial" w:hAnsi="Arial"/>
          <w:sz w:val="18"/>
          <w:szCs w:val="18"/>
          <w:color w:val="auto"/>
        </w:rPr>
        <w:t>not reflect the ongoing performance of the Company or our hotels.</w:t>
      </w:r>
    </w:p>
    <w:p>
      <w:pPr>
        <w:spacing w:after="0" w:line="170"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Other Items</w:t>
      </w:r>
      <w:r>
        <w:rPr>
          <w:rFonts w:ascii="Arial" w:cs="Arial" w:eastAsia="Arial" w:hAnsi="Arial"/>
          <w:sz w:val="17"/>
          <w:szCs w:val="17"/>
          <w:color w:val="auto"/>
        </w:rPr>
        <w:t>: From time to time we incur costs or realize gains that we consider outside the ordinary course of business and that we do not</w:t>
      </w:r>
    </w:p>
    <w:p>
      <w:pPr>
        <w:spacing w:after="0" w:line="34" w:lineRule="exact"/>
        <w:rPr>
          <w:rFonts w:ascii="Arial" w:cs="Arial" w:eastAsia="Arial" w:hAnsi="Arial"/>
          <w:sz w:val="17"/>
          <w:szCs w:val="17"/>
          <w:color w:val="auto"/>
        </w:rPr>
      </w:pPr>
    </w:p>
    <w:p>
      <w:pPr>
        <w:ind w:left="820" w:right="320"/>
        <w:spacing w:after="0" w:line="273" w:lineRule="auto"/>
        <w:rPr>
          <w:rFonts w:ascii="Arial" w:cs="Arial" w:eastAsia="Arial" w:hAnsi="Arial"/>
          <w:sz w:val="17"/>
          <w:szCs w:val="17"/>
          <w:color w:val="auto"/>
        </w:rPr>
      </w:pPr>
      <w:r>
        <w:rPr>
          <w:rFonts w:ascii="Arial" w:cs="Arial" w:eastAsia="Arial" w:hAnsi="Arial"/>
          <w:sz w:val="17"/>
          <w:szCs w:val="17"/>
          <w:color w:val="auto"/>
        </w:rPr>
        <w:t>believe reflect the ongoing performance of the Company or our hotels. Such items may include, but are not limited to, the following: pre-opening costs incurred with newly developed hotels; lease preparation costs incurred to prepare vacant space for marketing; management or franchise contract termination fees; gains or losses from legal settlements; costs incurred related to natural disasters; and gains on property insurance claim settlements, other than income related to business interruption insurance.</w:t>
      </w:r>
    </w:p>
    <w:p>
      <w:pPr>
        <w:spacing w:after="0" w:line="17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addition, to derive Adjusted FFO we exclude any fair value adjustments to interest rate swaps. We exclude these non-cash amounts because they do not reflect the underlying performance of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34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Reconciliations of Non-GAAP Measures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EBITDA, EBITDAre and Adjusted EBITDA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are reconciliations of our GAAP net income to EBITDA, EBITDAre and Adjusted EBITDA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21,218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11,662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Real estate related depreciation and amortization</w:t>
            </w: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28,996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EBITDA/EBITDA</w:t>
            </w:r>
            <w:r>
              <w:rPr>
                <w:rFonts w:ascii="Arial" w:cs="Arial" w:eastAsia="Arial" w:hAnsi="Arial"/>
                <w:sz w:val="18"/>
                <w:szCs w:val="18"/>
                <w:b w:val="1"/>
                <w:bCs w:val="1"/>
                <w:i w:val="1"/>
                <w:iCs w:val="1"/>
                <w:color w:val="auto"/>
              </w:rPr>
              <w:t>re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Non-cash lease expense and other amortization</w:t>
            </w: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Professional fees and pre-opening costs related to Frenchman's Reef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70"/>
        </w:trPr>
        <w:tc>
          <w:tcPr>
            <w:tcW w:w="74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Hotel manager transition costs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00" w:hanging="168"/>
        <w:spacing w:after="0" w:line="246" w:lineRule="auto"/>
        <w:tabs>
          <w:tab w:leader="none" w:pos="50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Represents pre-opening costs related to the re-opening of Frenchman's Reef, as well as legal and professional fees and other costs incurred at Frenchman's Reef as a result of Hurricane Irma that are not covered by insurance.</w:t>
      </w:r>
    </w:p>
    <w:p>
      <w:pPr>
        <w:spacing w:after="0" w:line="31" w:lineRule="exact"/>
        <w:rPr>
          <w:rFonts w:ascii="Arial" w:cs="Arial" w:eastAsia="Arial" w:hAnsi="Arial"/>
          <w:sz w:val="19"/>
          <w:szCs w:val="19"/>
          <w:color w:val="auto"/>
          <w:vertAlign w:val="superscript"/>
        </w:rPr>
      </w:pPr>
    </w:p>
    <w:p>
      <w:pPr>
        <w:ind w:left="500" w:hanging="168"/>
        <w:spacing w:after="0" w:line="276" w:lineRule="auto"/>
        <w:tabs>
          <w:tab w:leader="none" w:pos="50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Three months ended March 31, 2020 consists of manager transition costs of $0.8 million related to the L'Auberge de Sedona, Orchards Inn Sedona and the Westin Boston Waterfront Hotel and a downward adjustment of $0.6 million of estimated termination fees related to the pending termination of the franchise agreement for Sheraton Suites Key West. Three months ended March 31, 2019 consists of $0.3 million of pre-opening costs related to the re-opening of the Hotel Emblem.</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Hotel EBITDA and Hotel Adjusted EBITDA</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our GAAP net income to Hotel EBITDA and Hotel Adjusted EBITDA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21,218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11,662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Real estate related depreciation and amortization</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28,996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45,789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7,064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and other expense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70"/>
        </w:trPr>
        <w:tc>
          <w:tcPr>
            <w:tcW w:w="74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Professional fees and pre-opening costs related to Frenchman's Reef </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1,367</w:t>
            </w: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Hotel EBITDA</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53,917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Non-cash lease expense and other amortization</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1,715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Hotel manager transition costs </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Hotel 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17,819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55,929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168"/>
        <w:spacing w:after="0" w:line="246" w:lineRule="auto"/>
        <w:tabs>
          <w:tab w:leader="none" w:pos="50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Represents pre-opening costs related to the re-opening of Frenchman's Reef, as well as legal and professional fees and other costs incurred at Frenchman's Reef as a result of Hurricane Irma that are not covered by insurance.</w:t>
      </w:r>
    </w:p>
    <w:p>
      <w:pPr>
        <w:spacing w:after="0" w:line="85" w:lineRule="exact"/>
        <w:rPr>
          <w:rFonts w:ascii="Arial" w:cs="Arial" w:eastAsia="Arial" w:hAnsi="Arial"/>
          <w:sz w:val="19"/>
          <w:szCs w:val="19"/>
          <w:color w:val="auto"/>
          <w:vertAlign w:val="superscript"/>
        </w:rPr>
      </w:pPr>
    </w:p>
    <w:p>
      <w:pPr>
        <w:ind w:left="500" w:hanging="168"/>
        <w:spacing w:after="0" w:line="276" w:lineRule="auto"/>
        <w:tabs>
          <w:tab w:leader="none" w:pos="5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Three months ended March 31, 2020 consists of manager transition costs of $0.8 million related to the L'Auberge de Sedona, Orchards Inn Sedona and the Westin Boston Waterfront Hotel and a downward adjustment of $0.6 million of estimated termination fees related to the pending termination of the franchise agreement for Sheraton Suites Key West. Three months ended March 31, 2019 consists of $0.3 million of pre-opening costs related to the re-opening of the Hotel Emblem.</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40"/>
          </w:cols>
          <w:pgMar w:left="320" w:top="337" w:right="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74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FFO and Adjusted FFO</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180" w:type="dxa"/>
            <w:vAlign w:val="bottom"/>
            <w:gridSpan w:val="4"/>
          </w:tcPr>
          <w:p>
            <w:pPr>
              <w:ind w:left="340"/>
              <w:spacing w:after="0"/>
              <w:rPr>
                <w:sz w:val="20"/>
                <w:szCs w:val="20"/>
                <w:color w:val="auto"/>
              </w:rPr>
            </w:pPr>
            <w:r>
              <w:rPr>
                <w:rFonts w:ascii="Arial" w:cs="Arial" w:eastAsia="Arial" w:hAnsi="Arial"/>
                <w:sz w:val="18"/>
                <w:szCs w:val="18"/>
                <w:color w:val="auto"/>
              </w:rPr>
              <w:t>The following tables are reconciliations of our GAAP net income to FFO and Adjusted FFO (in thousands):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6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(34,692)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related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28,996</w:t>
            </w:r>
          </w:p>
        </w:tc>
        <w:tc>
          <w:tcPr>
            <w:tcW w:w="0" w:type="dxa"/>
            <w:vAlign w:val="bottom"/>
          </w:tcPr>
          <w:p>
            <w:pPr>
              <w:spacing w:after="0"/>
              <w:rPr>
                <w:sz w:val="1"/>
                <w:szCs w:val="1"/>
                <w:color w:val="auto"/>
              </w:rPr>
            </w:pPr>
          </w:p>
        </w:tc>
      </w:tr>
      <w:tr>
        <w:trPr>
          <w:trHeight w:val="237"/>
        </w:trPr>
        <w:tc>
          <w:tcPr>
            <w:tcW w:w="7460" w:type="dxa"/>
            <w:vAlign w:val="bottom"/>
          </w:tcPr>
          <w:p>
            <w:pPr>
              <w:ind w:left="40"/>
              <w:spacing w:after="0"/>
              <w:rPr>
                <w:sz w:val="20"/>
                <w:szCs w:val="20"/>
                <w:color w:val="auto"/>
              </w:rPr>
            </w:pPr>
            <w:r>
              <w:rPr>
                <w:rFonts w:ascii="Arial" w:cs="Arial" w:eastAsia="Arial" w:hAnsi="Arial"/>
                <w:sz w:val="18"/>
                <w:szCs w:val="18"/>
                <w:b w:val="1"/>
                <w:bCs w:val="1"/>
                <w:color w:val="auto"/>
              </w:rPr>
              <w:t>FFO</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37,976</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lease expense and other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0"/>
        </w:trPr>
        <w:tc>
          <w:tcPr>
            <w:tcW w:w="74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Professional fees and pre-opening costs related to Frenchman's Reef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70"/>
        </w:trPr>
        <w:tc>
          <w:tcPr>
            <w:tcW w:w="74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Hotel manager transition costs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Fair value adjustments to interest rate swaps</w:t>
            </w: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FFO</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41,927</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b w:val="1"/>
                <w:bCs w:val="1"/>
                <w:color w:val="auto"/>
              </w:rPr>
              <w:t>Adjusted FFO per diluted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40" w:hanging="328"/>
        <w:spacing w:after="0" w:line="217" w:lineRule="auto"/>
        <w:tabs>
          <w:tab w:leader="none" w:pos="66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Represents pre-opening costs related to the re-opening of Frenchman's Reef, as well as legal and professional fees and other costs incurred at Frenchman's Reef as a result of Hurricane Irma that are not covered by insurance.</w:t>
      </w:r>
    </w:p>
    <w:p>
      <w:pPr>
        <w:spacing w:after="0" w:line="90" w:lineRule="exact"/>
        <w:rPr>
          <w:rFonts w:ascii="Arial" w:cs="Arial" w:eastAsia="Arial" w:hAnsi="Arial"/>
          <w:sz w:val="22"/>
          <w:szCs w:val="22"/>
          <w:color w:val="auto"/>
          <w:vertAlign w:val="superscript"/>
        </w:rPr>
      </w:pPr>
    </w:p>
    <w:p>
      <w:pPr>
        <w:ind w:left="660" w:right="60" w:hanging="328"/>
        <w:spacing w:after="0" w:line="276" w:lineRule="auto"/>
        <w:tabs>
          <w:tab w:leader="none" w:pos="6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Three months ended March 31, 2020 consists of manager transition costs of $0.8 million related to the L'Auberge de Sedona, Orchards Inn Sedona and the Westin Boston Waterfront Hotel and a downward adjustment of $0.6 million of estimated termination fees related to the pending termination of the franchise agreement for Sheraton Suites Key West. Three months ended March 31, 2019 consists of $0.3 million of pre-opening costs related to the re-opening of the Hotel Emblem.</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7"/>
          <w:szCs w:val="17"/>
          <w:b w:val="1"/>
          <w:bCs w:val="1"/>
          <w:color w:val="auto"/>
        </w:rPr>
        <w:t>econciliation of Comparable Operating Results</w:t>
      </w: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presents the revenues, Hotel Adjusted EBITDA and Hotel Adjusted EBITDA Margin together with comparable prior year results, which excludes the results for Frenchman's Reef due to the closure of the hotel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7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169,995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202,375</w:t>
            </w: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Hotel revenues from Frenchman's Reef</w:t>
            </w:r>
          </w:p>
        </w:tc>
        <w:tc>
          <w:tcPr>
            <w:tcW w:w="32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Comparable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169,995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202,375</w:t>
            </w: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Hotel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17,819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55,929</w:t>
            </w: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Hotel Adjusted EBITDA from Frenchman's Reef</w:t>
            </w:r>
          </w:p>
        </w:tc>
        <w:tc>
          <w:tcPr>
            <w:tcW w:w="32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(8,822)</w:t>
            </w: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Comparable Hotel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17,819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47,107</w:t>
            </w: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Hotel Adjusted EBITDA Margin</w:t>
            </w:r>
          </w:p>
        </w:tc>
        <w:tc>
          <w:tcPr>
            <w:tcW w:w="3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0"/>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Comparable Hotel Adjusted EBITDA Margin</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71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Selected Quarterly Comparable Operating Information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is presented to provide investors with selected quarterly comparable operating information. The operating information excludes Frenchman's Reef for all periods.</w:t>
      </w:r>
    </w:p>
    <w:p>
      <w:pPr>
        <w:spacing w:after="0" w:line="84" w:lineRule="exact"/>
        <w:rPr>
          <w:sz w:val="20"/>
          <w:szCs w:val="20"/>
          <w:color w:val="auto"/>
        </w:rPr>
      </w:pPr>
    </w:p>
    <w:tbl>
      <w:tblPr>
        <w:tblLayout w:type="fixed"/>
        <w:tblInd w:w="150" w:type="dxa"/>
        <w:tblCellMar>
          <w:top w:w="0" w:type="dxa"/>
          <w:left w:w="0" w:type="dxa"/>
          <w:bottom w:w="0" w:type="dxa"/>
          <w:right w:w="0" w:type="dxa"/>
        </w:tblCellMar>
      </w:tblPr>
      <w:tr>
        <w:trPr>
          <w:trHeight w:val="251"/>
        </w:trPr>
        <w:tc>
          <w:tcPr>
            <w:tcW w:w="3080" w:type="dxa"/>
            <w:vAlign w:val="bottom"/>
            <w:tcBorders>
              <w:top w:val="single" w:sz="8" w:color="auto"/>
              <w:left w:val="single" w:sz="8" w:color="auto"/>
              <w:right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right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6"/>
              </w:rPr>
              <w:t>Quarter 1, 2019</w:t>
            </w: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right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6"/>
              </w:rPr>
              <w:t>Quarter 2, 2019</w:t>
            </w: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right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6"/>
              </w:rPr>
              <w:t>Quarter 3, 2019</w:t>
            </w: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right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8"/>
              </w:rPr>
              <w:t>Quarter 4, 2019</w:t>
            </w: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right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8"/>
              </w:rPr>
              <w:t>Full Year 2019</w:t>
            </w:r>
          </w:p>
        </w:tc>
      </w:tr>
      <w:tr>
        <w:trPr>
          <w:trHeight w:val="33"/>
        </w:trPr>
        <w:tc>
          <w:tcPr>
            <w:tcW w:w="3080" w:type="dxa"/>
            <w:vAlign w:val="bottom"/>
            <w:tcBorders>
              <w:left w:val="single" w:sz="8" w:color="auto"/>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37"/>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ADR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216.38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250.23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238.50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247.02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tcPr>
          <w:p>
            <w:pPr>
              <w:jc w:val="right"/>
              <w:ind w:right="131"/>
              <w:spacing w:after="0"/>
              <w:rPr>
                <w:sz w:val="20"/>
                <w:szCs w:val="20"/>
                <w:color w:val="auto"/>
              </w:rPr>
            </w:pPr>
            <w:r>
              <w:rPr>
                <w:rFonts w:ascii="Arial" w:cs="Arial" w:eastAsia="Arial" w:hAnsi="Arial"/>
                <w:sz w:val="18"/>
                <w:szCs w:val="18"/>
                <w:color w:val="auto"/>
              </w:rPr>
              <w:t>238.63</w:t>
            </w:r>
          </w:p>
        </w:tc>
      </w:tr>
      <w:tr>
        <w:trPr>
          <w:trHeight w:val="270"/>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Occupancy</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Pr>
          <w:p>
            <w:pPr>
              <w:spacing w:after="0"/>
              <w:rPr>
                <w:sz w:val="23"/>
                <w:szCs w:val="23"/>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0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79.1%</w:t>
            </w:r>
          </w:p>
        </w:tc>
      </w:tr>
      <w:tr>
        <w:trPr>
          <w:trHeight w:val="270"/>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RevPAR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158.30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208.02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197.14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191.08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tcPr>
          <w:p>
            <w:pPr>
              <w:jc w:val="right"/>
              <w:ind w:right="131"/>
              <w:spacing w:after="0"/>
              <w:rPr>
                <w:sz w:val="20"/>
                <w:szCs w:val="20"/>
                <w:color w:val="auto"/>
              </w:rPr>
            </w:pPr>
            <w:r>
              <w:rPr>
                <w:rFonts w:ascii="Arial" w:cs="Arial" w:eastAsia="Arial" w:hAnsi="Arial"/>
                <w:sz w:val="18"/>
                <w:szCs w:val="18"/>
                <w:color w:val="auto"/>
              </w:rPr>
              <w:t>188.75</w:t>
            </w:r>
          </w:p>
        </w:tc>
      </w:tr>
      <w:tr>
        <w:trPr>
          <w:trHeight w:val="270"/>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(in thousands)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202,375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257,918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240,279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auto"/>
            </w:tcBorders>
          </w:tcPr>
          <w:p>
            <w:pPr>
              <w:jc w:val="right"/>
              <w:ind w:right="131"/>
              <w:spacing w:after="0"/>
              <w:rPr>
                <w:sz w:val="20"/>
                <w:szCs w:val="20"/>
                <w:color w:val="auto"/>
              </w:rPr>
            </w:pPr>
            <w:r>
              <w:rPr>
                <w:rFonts w:ascii="Arial" w:cs="Arial" w:eastAsia="Arial" w:hAnsi="Arial"/>
                <w:sz w:val="18"/>
                <w:szCs w:val="18"/>
                <w:color w:val="auto"/>
              </w:rPr>
              <w:t>237,519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tcPr>
          <w:p>
            <w:pPr>
              <w:jc w:val="right"/>
              <w:ind w:right="131"/>
              <w:spacing w:after="0"/>
              <w:rPr>
                <w:sz w:val="20"/>
                <w:szCs w:val="20"/>
                <w:color w:val="auto"/>
              </w:rPr>
            </w:pPr>
            <w:r>
              <w:rPr>
                <w:rFonts w:ascii="Arial" w:cs="Arial" w:eastAsia="Arial" w:hAnsi="Arial"/>
                <w:sz w:val="18"/>
                <w:szCs w:val="18"/>
                <w:color w:val="auto"/>
              </w:rPr>
              <w:t>938,091</w:t>
            </w:r>
          </w:p>
        </w:tc>
      </w:tr>
      <w:tr>
        <w:trPr>
          <w:trHeight w:val="270"/>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Hotel Adjusted EBITDA (in thousands)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47,107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88,348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73,748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69,416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tcPr>
          <w:p>
            <w:pPr>
              <w:jc w:val="right"/>
              <w:ind w:right="131"/>
              <w:spacing w:after="0"/>
              <w:rPr>
                <w:sz w:val="20"/>
                <w:szCs w:val="20"/>
                <w:color w:val="auto"/>
              </w:rPr>
            </w:pPr>
            <w:r>
              <w:rPr>
                <w:rFonts w:ascii="Arial" w:cs="Arial" w:eastAsia="Arial" w:hAnsi="Arial"/>
                <w:sz w:val="18"/>
                <w:szCs w:val="18"/>
                <w:color w:val="auto"/>
              </w:rPr>
              <w:t>278,619</w:t>
            </w:r>
          </w:p>
        </w:tc>
      </w:tr>
      <w:tr>
        <w:trPr>
          <w:trHeight w:val="270"/>
        </w:trPr>
        <w:tc>
          <w:tcPr>
            <w:tcW w:w="30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6"/>
                <w:szCs w:val="16"/>
                <w:i w:val="1"/>
                <w:iCs w:val="1"/>
                <w:color w:val="auto"/>
              </w:rPr>
              <w:t>% of full Year</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31.71%</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160" w:type="dxa"/>
            <w:vAlign w:val="bottom"/>
          </w:tcPr>
          <w:p>
            <w:pPr>
              <w:spacing w:after="0"/>
              <w:rPr>
                <w:sz w:val="23"/>
                <w:szCs w:val="23"/>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20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Hotel Adjusted EBITDA Margin</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60" w:type="dxa"/>
            <w:vAlign w:val="bottom"/>
          </w:tcPr>
          <w:p>
            <w:pPr>
              <w:spacing w:after="0"/>
              <w:rPr>
                <w:sz w:val="23"/>
                <w:szCs w:val="23"/>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200" w:type="dxa"/>
            <w:vAlign w:val="bottom"/>
          </w:tcPr>
          <w:p>
            <w:pPr>
              <w:spacing w:after="0"/>
              <w:rPr>
                <w:sz w:val="23"/>
                <w:szCs w:val="23"/>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29.70%</w:t>
            </w:r>
          </w:p>
        </w:tc>
      </w:tr>
      <w:tr>
        <w:trPr>
          <w:trHeight w:val="270"/>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Available Rooms</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863,264</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873,145</w:t>
            </w:r>
          </w:p>
        </w:tc>
        <w:tc>
          <w:tcPr>
            <w:tcW w:w="180" w:type="dxa"/>
            <w:vAlign w:val="bottom"/>
          </w:tcPr>
          <w:p>
            <w:pPr>
              <w:spacing w:after="0"/>
              <w:rPr>
                <w:sz w:val="23"/>
                <w:szCs w:val="23"/>
                <w:color w:val="auto"/>
              </w:rPr>
            </w:pPr>
          </w:p>
        </w:tc>
        <w:tc>
          <w:tcPr>
            <w:tcW w:w="140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883,200</w:t>
            </w:r>
          </w:p>
        </w:tc>
        <w:tc>
          <w:tcPr>
            <w:tcW w:w="160" w:type="dxa"/>
            <w:vAlign w:val="bottom"/>
          </w:tcPr>
          <w:p>
            <w:pPr>
              <w:spacing w:after="0"/>
              <w:rPr>
                <w:sz w:val="23"/>
                <w:szCs w:val="23"/>
                <w:color w:val="auto"/>
              </w:rPr>
            </w:pPr>
          </w:p>
        </w:tc>
        <w:tc>
          <w:tcPr>
            <w:tcW w:w="1420" w:type="dxa"/>
            <w:vAlign w:val="bottom"/>
            <w:tcBorders>
              <w:right w:val="single" w:sz="8" w:color="auto"/>
            </w:tcBorders>
          </w:tcPr>
          <w:p>
            <w:pPr>
              <w:jc w:val="right"/>
              <w:ind w:right="131"/>
              <w:spacing w:after="0"/>
              <w:rPr>
                <w:sz w:val="20"/>
                <w:szCs w:val="20"/>
                <w:color w:val="auto"/>
              </w:rPr>
            </w:pPr>
            <w:r>
              <w:rPr>
                <w:rFonts w:ascii="Arial" w:cs="Arial" w:eastAsia="Arial" w:hAnsi="Arial"/>
                <w:sz w:val="18"/>
                <w:szCs w:val="18"/>
                <w:color w:val="auto"/>
              </w:rPr>
              <w:t>883,200</w:t>
            </w:r>
          </w:p>
        </w:tc>
        <w:tc>
          <w:tcPr>
            <w:tcW w:w="200" w:type="dxa"/>
            <w:vAlign w:val="bottom"/>
          </w:tcPr>
          <w:p>
            <w:pPr>
              <w:spacing w:after="0"/>
              <w:rPr>
                <w:sz w:val="23"/>
                <w:szCs w:val="23"/>
                <w:color w:val="auto"/>
              </w:rPr>
            </w:pPr>
          </w:p>
        </w:tc>
        <w:tc>
          <w:tcPr>
            <w:tcW w:w="1400" w:type="dxa"/>
            <w:vAlign w:val="bottom"/>
            <w:tcBorders>
              <w:right w:val="single" w:sz="8" w:color="auto"/>
            </w:tcBorders>
          </w:tcPr>
          <w:p>
            <w:pPr>
              <w:jc w:val="right"/>
              <w:ind w:right="131"/>
              <w:spacing w:after="0"/>
              <w:rPr>
                <w:sz w:val="20"/>
                <w:szCs w:val="20"/>
                <w:color w:val="auto"/>
              </w:rPr>
            </w:pPr>
            <w:r>
              <w:rPr>
                <w:rFonts w:ascii="Arial" w:cs="Arial" w:eastAsia="Arial" w:hAnsi="Arial"/>
                <w:sz w:val="18"/>
                <w:szCs w:val="18"/>
                <w:color w:val="auto"/>
              </w:rPr>
              <w:t>3,502,809</w:t>
            </w:r>
          </w:p>
        </w:tc>
      </w:tr>
      <w:tr>
        <w:trPr>
          <w:trHeight w:val="27"/>
        </w:trPr>
        <w:tc>
          <w:tcPr>
            <w:tcW w:w="3080" w:type="dxa"/>
            <w:vAlign w:val="bottom"/>
            <w:tcBorders>
              <w:left w:val="single" w:sz="8" w:color="auto"/>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40"/>
          </w:cols>
          <w:pgMar w:left="320" w:top="337" w:right="439" w:bottom="1440" w:gutter="0" w:footer="0" w:header="0"/>
        </w:sectPr>
      </w:pPr>
    </w:p>
    <w:bookmarkStart w:id="16" w:name="page17"/>
    <w:bookmarkEnd w:id="16"/>
    <w:p>
      <w:pPr>
        <w:jc w:val="center"/>
        <w:ind w:right="680"/>
        <w:spacing w:after="0"/>
        <w:rPr>
          <w:sz w:val="20"/>
          <w:szCs w:val="20"/>
          <w:color w:val="auto"/>
        </w:rPr>
      </w:pPr>
      <w:r>
        <w:rPr>
          <w:rFonts w:ascii="Arial" w:cs="Arial" w:eastAsia="Arial" w:hAnsi="Arial"/>
          <w:sz w:val="18"/>
          <w:szCs w:val="18"/>
          <w:b w:val="1"/>
          <w:bCs w:val="1"/>
          <w:color w:val="auto"/>
        </w:rPr>
        <w:t>Market Capitalization as of March 31, 2020</w:t>
      </w:r>
    </w:p>
    <w:p>
      <w:pPr>
        <w:spacing w:after="0" w:line="63"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ind w:left="40"/>
              <w:spacing w:after="0"/>
              <w:rPr>
                <w:sz w:val="20"/>
                <w:szCs w:val="20"/>
                <w:color w:val="auto"/>
              </w:rPr>
            </w:pPr>
            <w:r>
              <w:rPr>
                <w:rFonts w:ascii="Arial" w:cs="Arial" w:eastAsia="Arial" w:hAnsi="Arial"/>
                <w:sz w:val="18"/>
                <w:szCs w:val="18"/>
                <w:b w:val="1"/>
                <w:bCs w:val="1"/>
                <w:color w:val="auto"/>
              </w:rPr>
              <w:t>Enterprise Value</w:t>
            </w: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equity capitalization (at March 31, 2020 closing price of $5.08/share)</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1,022,328</w:t>
            </w:r>
          </w:p>
        </w:tc>
        <w:tc>
          <w:tcPr>
            <w:tcW w:w="0" w:type="dxa"/>
            <w:vAlign w:val="bottom"/>
          </w:tcPr>
          <w:p>
            <w:pPr>
              <w:spacing w:after="0"/>
              <w:rPr>
                <w:sz w:val="1"/>
                <w:szCs w:val="1"/>
                <w:color w:val="auto"/>
              </w:rPr>
            </w:pPr>
          </w:p>
        </w:tc>
      </w:tr>
      <w:tr>
        <w:trPr>
          <w:trHeight w:val="243"/>
        </w:trPr>
        <w:tc>
          <w:tcPr>
            <w:tcW w:w="8720" w:type="dxa"/>
            <w:vAlign w:val="bottom"/>
            <w:gridSpan w:val="2"/>
          </w:tcPr>
          <w:p>
            <w:pPr>
              <w:ind w:left="40"/>
              <w:spacing w:after="0"/>
              <w:rPr>
                <w:sz w:val="20"/>
                <w:szCs w:val="20"/>
                <w:color w:val="auto"/>
              </w:rPr>
            </w:pPr>
            <w:r>
              <w:rPr>
                <w:rFonts w:ascii="Arial" w:cs="Arial" w:eastAsia="Arial" w:hAnsi="Arial"/>
                <w:sz w:val="18"/>
                <w:szCs w:val="18"/>
                <w:color w:val="auto"/>
              </w:rPr>
              <w:t>Consolidated debt (face amount)</w:t>
            </w:r>
          </w:p>
        </w:tc>
        <w:tc>
          <w:tcPr>
            <w:tcW w:w="5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1,416,113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(387,825)</w:t>
            </w:r>
          </w:p>
        </w:tc>
        <w:tc>
          <w:tcPr>
            <w:tcW w:w="0" w:type="dxa"/>
            <w:vAlign w:val="bottom"/>
          </w:tcPr>
          <w:p>
            <w:pPr>
              <w:spacing w:after="0"/>
              <w:rPr>
                <w:sz w:val="1"/>
                <w:szCs w:val="1"/>
                <w:color w:val="auto"/>
              </w:rPr>
            </w:pPr>
          </w:p>
        </w:tc>
      </w:tr>
      <w:tr>
        <w:trPr>
          <w:trHeight w:val="257"/>
        </w:trPr>
        <w:tc>
          <w:tcPr>
            <w:tcW w:w="8720" w:type="dxa"/>
            <w:vAlign w:val="bottom"/>
            <w:gridSpan w:val="2"/>
          </w:tcPr>
          <w:p>
            <w:pPr>
              <w:ind w:left="200"/>
              <w:spacing w:after="0"/>
              <w:rPr>
                <w:sz w:val="20"/>
                <w:szCs w:val="20"/>
                <w:color w:val="auto"/>
              </w:rPr>
            </w:pPr>
            <w:r>
              <w:rPr>
                <w:rFonts w:ascii="Arial" w:cs="Arial" w:eastAsia="Arial" w:hAnsi="Arial"/>
                <w:sz w:val="18"/>
                <w:szCs w:val="18"/>
                <w:color w:val="auto"/>
              </w:rPr>
              <w:t>Total enterprise value</w:t>
            </w:r>
          </w:p>
        </w:tc>
        <w:tc>
          <w:tcPr>
            <w:tcW w:w="5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2,050,616</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Share Reconciliation</w:t>
            </w: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2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shares outstanding</w:t>
            </w: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199,243</w:t>
            </w:r>
          </w:p>
        </w:tc>
        <w:tc>
          <w:tcPr>
            <w:tcW w:w="0" w:type="dxa"/>
            <w:vAlign w:val="bottom"/>
          </w:tcPr>
          <w:p>
            <w:pPr>
              <w:spacing w:after="0"/>
              <w:rPr>
                <w:sz w:val="1"/>
                <w:szCs w:val="1"/>
                <w:color w:val="auto"/>
              </w:rPr>
            </w:pPr>
          </w:p>
        </w:tc>
      </w:tr>
      <w:tr>
        <w:trPr>
          <w:trHeight w:val="243"/>
        </w:trPr>
        <w:tc>
          <w:tcPr>
            <w:tcW w:w="8720" w:type="dxa"/>
            <w:vAlign w:val="bottom"/>
            <w:gridSpan w:val="2"/>
          </w:tcPr>
          <w:p>
            <w:pPr>
              <w:ind w:left="40"/>
              <w:spacing w:after="0"/>
              <w:rPr>
                <w:sz w:val="20"/>
                <w:szCs w:val="20"/>
                <w:color w:val="auto"/>
              </w:rPr>
            </w:pPr>
            <w:r>
              <w:rPr>
                <w:rFonts w:ascii="Arial" w:cs="Arial" w:eastAsia="Arial" w:hAnsi="Arial"/>
                <w:sz w:val="18"/>
                <w:szCs w:val="18"/>
                <w:color w:val="auto"/>
              </w:rPr>
              <w:t>Unvested restricted stock held by management and employees</w:t>
            </w:r>
          </w:p>
        </w:tc>
        <w:tc>
          <w:tcPr>
            <w:tcW w:w="5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 grants under deferred compensation plan</w:t>
            </w:r>
          </w:p>
        </w:tc>
        <w:tc>
          <w:tcPr>
            <w:tcW w:w="5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57"/>
        </w:trPr>
        <w:tc>
          <w:tcPr>
            <w:tcW w:w="8720" w:type="dxa"/>
            <w:vAlign w:val="bottom"/>
            <w:gridSpan w:val="2"/>
          </w:tcPr>
          <w:p>
            <w:pPr>
              <w:ind w:left="40"/>
              <w:spacing w:after="0"/>
              <w:rPr>
                <w:sz w:val="20"/>
                <w:szCs w:val="20"/>
                <w:color w:val="auto"/>
              </w:rPr>
            </w:pPr>
            <w:r>
              <w:rPr>
                <w:rFonts w:ascii="Arial" w:cs="Arial" w:eastAsia="Arial" w:hAnsi="Arial"/>
                <w:sz w:val="18"/>
                <w:szCs w:val="18"/>
                <w:color w:val="auto"/>
              </w:rPr>
              <w:t>Combined shares outstanding</w:t>
            </w:r>
          </w:p>
        </w:tc>
        <w:tc>
          <w:tcPr>
            <w:tcW w:w="5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201,245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7"/>
          </w:tcPr>
          <w:p>
            <w:pPr>
              <w:ind w:left="4220"/>
              <w:spacing w:after="0"/>
              <w:rPr>
                <w:sz w:val="20"/>
                <w:szCs w:val="20"/>
                <w:color w:val="auto"/>
              </w:rPr>
            </w:pPr>
            <w:r>
              <w:rPr>
                <w:rFonts w:ascii="Arial" w:cs="Arial" w:eastAsia="Arial" w:hAnsi="Arial"/>
                <w:sz w:val="18"/>
                <w:szCs w:val="18"/>
                <w:b w:val="1"/>
                <w:bCs w:val="1"/>
                <w:color w:val="auto"/>
              </w:rPr>
              <w:t>Debt Summary as of March 31, 2020</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0"/>
        </w:trPr>
        <w:tc>
          <w:tcPr>
            <w:tcW w:w="4720" w:type="dxa"/>
            <w:vAlign w:val="bottom"/>
          </w:tcPr>
          <w:p>
            <w:pPr>
              <w:spacing w:after="0"/>
              <w:rPr>
                <w:sz w:val="23"/>
                <w:szCs w:val="23"/>
                <w:color w:val="auto"/>
              </w:rPr>
            </w:pPr>
          </w:p>
        </w:tc>
        <w:tc>
          <w:tcPr>
            <w:tcW w:w="19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1"/>
              </w:rPr>
              <w:t>(dollars in thousands)</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52"/>
        </w:trPr>
        <w:tc>
          <w:tcPr>
            <w:tcW w:w="4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34"/>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Loan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Principal</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Maturity</w:t>
            </w:r>
          </w:p>
        </w:tc>
      </w:tr>
      <w:tr>
        <w:trPr>
          <w:trHeight w:val="27"/>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3"/>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Marriott Salt Lake City Downtown</w:t>
            </w:r>
          </w:p>
        </w:tc>
        <w:tc>
          <w:tcPr>
            <w:tcW w:w="19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Fixed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52,968</w:t>
            </w:r>
          </w:p>
        </w:tc>
        <w:tc>
          <w:tcPr>
            <w:tcW w:w="22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line="263" w:lineRule="exact"/>
              <w:rPr>
                <w:sz w:val="20"/>
                <w:szCs w:val="20"/>
                <w:color w:val="auto"/>
              </w:rPr>
            </w:pPr>
            <w:r>
              <w:rPr>
                <w:rFonts w:ascii="Arial" w:cs="Arial" w:eastAsia="Arial" w:hAnsi="Arial"/>
                <w:sz w:val="18"/>
                <w:szCs w:val="18"/>
                <w:color w:val="auto"/>
              </w:rPr>
              <w:t xml:space="preserve">November 2020 </w:t>
            </w:r>
            <w:r>
              <w:rPr>
                <w:rFonts w:ascii="Arial" w:cs="Arial" w:eastAsia="Arial" w:hAnsi="Arial"/>
                <w:sz w:val="25"/>
                <w:szCs w:val="25"/>
                <w:color w:val="auto"/>
                <w:vertAlign w:val="superscript"/>
              </w:rPr>
              <w:t>(1)</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Westin Washington D.C. City Center</w:t>
            </w:r>
          </w:p>
        </w:tc>
        <w:tc>
          <w:tcPr>
            <w:tcW w:w="19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3.99%</w:t>
            </w:r>
          </w:p>
        </w:tc>
        <w:tc>
          <w:tcPr>
            <w:tcW w:w="100" w:type="dxa"/>
            <w:vAlign w:val="bottom"/>
          </w:tcPr>
          <w:p>
            <w:pPr>
              <w:spacing w:after="0"/>
              <w:rPr>
                <w:sz w:val="21"/>
                <w:szCs w:val="21"/>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Fixed</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59,988</w:t>
            </w: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January 2023</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Lodge at Sonoma, a Renaissance Resort &amp; Spa</w:t>
            </w:r>
          </w:p>
        </w:tc>
        <w:tc>
          <w:tcPr>
            <w:tcW w:w="1960" w:type="dxa"/>
            <w:vAlign w:val="bottom"/>
            <w:tcBorders>
              <w:bottom w:val="single" w:sz="8" w:color="CCEEFF"/>
            </w:tcBorders>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0"/>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Fixed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26,846</w:t>
            </w: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2023</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Westin San Diego</w:t>
            </w:r>
          </w:p>
        </w:tc>
        <w:tc>
          <w:tcPr>
            <w:tcW w:w="19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3.94%</w:t>
            </w:r>
          </w:p>
        </w:tc>
        <w:tc>
          <w:tcPr>
            <w:tcW w:w="100" w:type="dxa"/>
            <w:vAlign w:val="bottom"/>
          </w:tcPr>
          <w:p>
            <w:pPr>
              <w:spacing w:after="0"/>
              <w:rPr>
                <w:sz w:val="21"/>
                <w:szCs w:val="21"/>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Fixed</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61,456</w:t>
            </w: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April 2023</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Courtyard Manhattan / Midtown East</w:t>
            </w:r>
          </w:p>
        </w:tc>
        <w:tc>
          <w:tcPr>
            <w:tcW w:w="1960" w:type="dxa"/>
            <w:vAlign w:val="bottom"/>
            <w:tcBorders>
              <w:bottom w:val="single" w:sz="8" w:color="CCEEFF"/>
            </w:tcBorders>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0"/>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Fixed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80,716</w:t>
            </w: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August 2024</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Renaissance Worthington</w:t>
            </w:r>
          </w:p>
        </w:tc>
        <w:tc>
          <w:tcPr>
            <w:tcW w:w="19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3.66%</w:t>
            </w:r>
          </w:p>
        </w:tc>
        <w:tc>
          <w:tcPr>
            <w:tcW w:w="100" w:type="dxa"/>
            <w:vAlign w:val="bottom"/>
          </w:tcPr>
          <w:p>
            <w:pPr>
              <w:spacing w:after="0"/>
              <w:rPr>
                <w:sz w:val="21"/>
                <w:szCs w:val="21"/>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Fixed</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80,483</w:t>
            </w: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May 2025</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JW Marriott Denver at Cherry Creek</w:t>
            </w:r>
          </w:p>
        </w:tc>
        <w:tc>
          <w:tcPr>
            <w:tcW w:w="1960" w:type="dxa"/>
            <w:vAlign w:val="bottom"/>
            <w:tcBorders>
              <w:bottom w:val="single" w:sz="8" w:color="CCEEFF"/>
            </w:tcBorders>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0"/>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Fixed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60,954</w:t>
            </w: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2025</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Westin Boston Waterfront Hotel</w:t>
            </w:r>
          </w:p>
        </w:tc>
        <w:tc>
          <w:tcPr>
            <w:tcW w:w="19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4.36%</w:t>
            </w:r>
          </w:p>
        </w:tc>
        <w:tc>
          <w:tcPr>
            <w:tcW w:w="100" w:type="dxa"/>
            <w:vAlign w:val="bottom"/>
          </w:tcPr>
          <w:p>
            <w:pPr>
              <w:spacing w:after="0"/>
              <w:rPr>
                <w:sz w:val="21"/>
                <w:szCs w:val="21"/>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Fixed</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189,759</w:t>
            </w: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November 2025</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New Market Tax Credit loan</w:t>
            </w:r>
            <w:r>
              <w:rPr>
                <w:rFonts w:ascii="Arial" w:cs="Arial" w:eastAsia="Arial" w:hAnsi="Arial"/>
                <w:sz w:val="25"/>
                <w:szCs w:val="25"/>
                <w:color w:val="auto"/>
                <w:vertAlign w:val="superscript"/>
              </w:rPr>
              <w:t>(2)</w:t>
            </w:r>
          </w:p>
        </w:tc>
        <w:tc>
          <w:tcPr>
            <w:tcW w:w="19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0"/>
              </w:rPr>
              <w:t>5.17%</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Fixed</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2,943</w:t>
            </w:r>
          </w:p>
        </w:tc>
        <w:tc>
          <w:tcPr>
            <w:tcW w:w="22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2020</w:t>
            </w:r>
          </w:p>
        </w:tc>
      </w:tr>
      <w:tr>
        <w:trPr>
          <w:trHeight w:val="243"/>
        </w:trPr>
        <w:tc>
          <w:tcPr>
            <w:tcW w:w="4720" w:type="dxa"/>
            <w:vAlign w:val="bottom"/>
          </w:tcPr>
          <w:p>
            <w:pPr>
              <w:ind w:left="26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(3,046)</w:t>
            </w: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09"/>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Total mortgage and other debt, net of unamortized debt issuance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5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613,067</w:t>
            </w:r>
          </w:p>
        </w:tc>
        <w:tc>
          <w:tcPr>
            <w:tcW w:w="2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r>
      <w:tr>
        <w:trPr>
          <w:trHeight w:val="183"/>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Unsecured term loan</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90"/>
              </w:rPr>
              <w:t>LIBOR + 1.35</w:t>
            </w:r>
            <w:r>
              <w:rPr>
                <w:rFonts w:ascii="Arial" w:cs="Arial" w:eastAsia="Arial" w:hAnsi="Arial"/>
                <w:sz w:val="25"/>
                <w:szCs w:val="25"/>
                <w:color w:val="auto"/>
                <w:w w:val="90"/>
                <w:vertAlign w:val="superscript"/>
              </w:rPr>
              <w:t>(3)</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Variable</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c>
          <w:tcPr>
            <w:tcW w:w="22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2024</w:t>
            </w:r>
          </w:p>
        </w:tc>
      </w:tr>
      <w:tr>
        <w:trPr>
          <w:trHeight w:val="270"/>
        </w:trPr>
        <w:tc>
          <w:tcPr>
            <w:tcW w:w="4720" w:type="dxa"/>
            <w:vAlign w:val="bottom"/>
          </w:tcPr>
          <w:p>
            <w:pPr>
              <w:ind w:left="40"/>
              <w:spacing w:after="0"/>
              <w:rPr>
                <w:sz w:val="20"/>
                <w:szCs w:val="20"/>
                <w:color w:val="auto"/>
              </w:rPr>
            </w:pPr>
            <w:r>
              <w:rPr>
                <w:rFonts w:ascii="Arial" w:cs="Arial" w:eastAsia="Arial" w:hAnsi="Arial"/>
                <w:sz w:val="18"/>
                <w:szCs w:val="18"/>
                <w:color w:val="auto"/>
              </w:rPr>
              <w:t>Unsecured term loan</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center"/>
              <w:spacing w:after="0" w:line="270" w:lineRule="exact"/>
              <w:rPr>
                <w:sz w:val="20"/>
                <w:szCs w:val="20"/>
                <w:color w:val="auto"/>
              </w:rPr>
            </w:pPr>
            <w:r>
              <w:rPr>
                <w:rFonts w:ascii="Arial" w:cs="Arial" w:eastAsia="Arial" w:hAnsi="Arial"/>
                <w:sz w:val="18"/>
                <w:szCs w:val="18"/>
                <w:color w:val="auto"/>
                <w:w w:val="90"/>
              </w:rPr>
              <w:t>LIBOR + 1.35</w:t>
            </w:r>
            <w:r>
              <w:rPr>
                <w:rFonts w:ascii="Arial" w:cs="Arial" w:eastAsia="Arial" w:hAnsi="Arial"/>
                <w:sz w:val="25"/>
                <w:szCs w:val="25"/>
                <w:color w:val="auto"/>
                <w:w w:val="90"/>
                <w:vertAlign w:val="superscript"/>
              </w:rPr>
              <w:t>(4)</w:t>
            </w:r>
          </w:p>
        </w:tc>
        <w:tc>
          <w:tcPr>
            <w:tcW w:w="100" w:type="dxa"/>
            <w:vAlign w:val="bottom"/>
          </w:tcPr>
          <w:p>
            <w:pPr>
              <w:spacing w:after="0"/>
              <w:rPr>
                <w:sz w:val="23"/>
                <w:szCs w:val="2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Fixed</w:t>
            </w: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October 2023</w:t>
            </w:r>
          </w:p>
        </w:tc>
      </w:tr>
      <w:tr>
        <w:trPr>
          <w:trHeight w:val="270"/>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color w:val="auto"/>
                <w:w w:val="93"/>
              </w:rPr>
              <w:t>Unsecured term loans, net of unamortized debt issuance costs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398,841</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182"/>
        </w:trPr>
        <w:tc>
          <w:tcPr>
            <w:tcW w:w="4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70"/>
        </w:trPr>
        <w:tc>
          <w:tcPr>
            <w:tcW w:w="4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Senior unsecured credit facility</w:t>
            </w:r>
          </w:p>
        </w:tc>
        <w:tc>
          <w:tcPr>
            <w:tcW w:w="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LIBOR + 1.40</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400,000</w:t>
            </w:r>
          </w:p>
        </w:tc>
        <w:tc>
          <w:tcPr>
            <w:tcW w:w="220" w:type="dxa"/>
            <w:vAlign w:val="bottom"/>
            <w:tcBorders>
              <w:bottom w:val="single" w:sz="8" w:color="CCEEFF"/>
            </w:tcBorders>
          </w:tcPr>
          <w:p>
            <w:pPr>
              <w:spacing w:after="0"/>
              <w:rPr>
                <w:sz w:val="23"/>
                <w:szCs w:val="23"/>
                <w:color w:val="auto"/>
              </w:rPr>
            </w:pPr>
          </w:p>
        </w:tc>
        <w:tc>
          <w:tcPr>
            <w:tcW w:w="1900" w:type="dxa"/>
            <w:vAlign w:val="bottom"/>
            <w:tcBorders>
              <w:bottom w:val="single" w:sz="8" w:color="CCEEFF"/>
            </w:tcBorders>
          </w:tcPr>
          <w:p>
            <w:pPr>
              <w:jc w:val="right"/>
              <w:spacing w:after="0" w:line="270" w:lineRule="exact"/>
              <w:rPr>
                <w:sz w:val="20"/>
                <w:szCs w:val="20"/>
                <w:color w:val="auto"/>
              </w:rPr>
            </w:pPr>
            <w:r>
              <w:rPr>
                <w:rFonts w:ascii="Arial" w:cs="Arial" w:eastAsia="Arial" w:hAnsi="Arial"/>
                <w:sz w:val="18"/>
                <w:szCs w:val="18"/>
                <w:color w:val="auto"/>
              </w:rPr>
              <w:t xml:space="preserve">July 2023 </w:t>
            </w:r>
            <w:r>
              <w:rPr>
                <w:rFonts w:ascii="Arial" w:cs="Arial" w:eastAsia="Arial" w:hAnsi="Arial"/>
                <w:sz w:val="25"/>
                <w:szCs w:val="25"/>
                <w:color w:val="auto"/>
                <w:vertAlign w:val="superscript"/>
              </w:rPr>
              <w:t>(5)</w:t>
            </w:r>
          </w:p>
        </w:tc>
      </w:tr>
      <w:tr>
        <w:trPr>
          <w:trHeight w:val="210"/>
        </w:trPr>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304"/>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debt, net of unamortized debt issuance costs</w:t>
            </w: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1,411,908</w:t>
            </w:r>
          </w:p>
        </w:tc>
        <w:tc>
          <w:tcPr>
            <w:tcW w:w="22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interest rate of fixed rate debt</w:t>
            </w:r>
          </w:p>
        </w:tc>
        <w:tc>
          <w:tcPr>
            <w:tcW w:w="300" w:type="dxa"/>
            <w:vAlign w:val="bottom"/>
            <w:tcBorders>
              <w:bottom w:val="single" w:sz="8" w:color="CCEEFF"/>
            </w:tcBorders>
            <w:gridSpan w:val="2"/>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44"/>
        </w:trPr>
        <w:tc>
          <w:tcPr>
            <w:tcW w:w="4720" w:type="dxa"/>
            <w:vAlign w:val="bottom"/>
          </w:tcPr>
          <w:p>
            <w:pPr>
              <w:ind w:left="40"/>
              <w:spacing w:after="0"/>
              <w:rPr>
                <w:sz w:val="20"/>
                <w:szCs w:val="20"/>
                <w:color w:val="auto"/>
              </w:rPr>
            </w:pPr>
            <w:r>
              <w:rPr>
                <w:rFonts w:ascii="Arial" w:cs="Arial" w:eastAsia="Arial" w:hAnsi="Arial"/>
                <w:sz w:val="18"/>
                <w:szCs w:val="18"/>
                <w:color w:val="auto"/>
              </w:rPr>
              <w:t>Total weighted-average interest rate</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8255</wp:posOffset>
            </wp:positionV>
            <wp:extent cx="1045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25400</wp:posOffset>
            </wp:positionV>
            <wp:extent cx="1045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4" w:lineRule="exact"/>
        <w:rPr>
          <w:sz w:val="20"/>
          <w:szCs w:val="20"/>
          <w:color w:val="auto"/>
        </w:rPr>
      </w:pPr>
    </w:p>
    <w:p>
      <w:pPr>
        <w:ind w:left="340" w:right="60" w:hanging="332"/>
        <w:spacing w:after="0" w:line="215"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Company has agreed to a term sheet to extend the maturity of the mortgage loan secured by the Salt Lake City Marriott Downtown to January 2022, subject to due diligence and other customary conditions.</w:t>
      </w:r>
    </w:p>
    <w:p>
      <w:pPr>
        <w:ind w:left="340" w:hanging="332"/>
        <w:spacing w:after="0" w:line="187" w:lineRule="auto"/>
        <w:tabs>
          <w:tab w:leader="none" w:pos="34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Assumed in connection with the acquisition of the Hotel Palomar Phoenix in March 2018.</w:t>
      </w:r>
    </w:p>
    <w:p>
      <w:pPr>
        <w:ind w:left="340" w:hanging="332"/>
        <w:spacing w:after="0" w:line="187" w:lineRule="auto"/>
        <w:tabs>
          <w:tab w:leader="none" w:pos="34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The Company entered into an interest rate swap agreement in July 2019 to fix LIBOR at 1.70% for $175 million of the term loan through July 2024.</w:t>
      </w:r>
    </w:p>
    <w:p>
      <w:pPr>
        <w:ind w:left="340" w:hanging="332"/>
        <w:spacing w:after="0" w:line="187" w:lineRule="auto"/>
        <w:tabs>
          <w:tab w:leader="none" w:pos="34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The Company entered into an interest rate swap agreement in January 2019 to fix LIBOR at 2.41% through October 2023.</w:t>
      </w:r>
    </w:p>
    <w:p>
      <w:pPr>
        <w:ind w:left="340" w:hanging="332"/>
        <w:spacing w:after="0" w:line="182"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May be extended for an additional year upon the payment of applicable fees and the satisfaction of certain customary conditions.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499"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Operating Statistics – First Quarter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3"/>
          </w:tcPr>
          <w:p>
            <w:pPr>
              <w:jc w:val="right"/>
              <w:ind w:right="168"/>
              <w:spacing w:after="0"/>
              <w:rPr>
                <w:sz w:val="20"/>
                <w:szCs w:val="20"/>
                <w:color w:val="auto"/>
              </w:rPr>
            </w:pPr>
            <w:r>
              <w:rPr>
                <w:rFonts w:ascii="Arial" w:cs="Arial" w:eastAsia="Arial" w:hAnsi="Arial"/>
                <w:sz w:val="16"/>
                <w:szCs w:val="16"/>
                <w:b w:val="1"/>
                <w:bCs w:val="1"/>
                <w:color w:val="auto"/>
              </w:rPr>
              <w:t>Hotel Adjusted EBITDA</w:t>
            </w:r>
          </w:p>
        </w:tc>
      </w:tr>
      <w:tr>
        <w:trPr>
          <w:trHeight w:val="210"/>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68"/>
              <w:spacing w:after="0"/>
              <w:rPr>
                <w:sz w:val="20"/>
                <w:szCs w:val="20"/>
                <w:color w:val="auto"/>
              </w:rPr>
            </w:pPr>
            <w:r>
              <w:rPr>
                <w:rFonts w:ascii="Arial" w:cs="Arial" w:eastAsia="Arial" w:hAnsi="Arial"/>
                <w:sz w:val="16"/>
                <w:szCs w:val="16"/>
                <w:b w:val="1"/>
                <w:bCs w:val="1"/>
                <w:color w:val="auto"/>
              </w:rPr>
              <w:t>ADR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88"/>
              </w:rPr>
              <w:t>Occupancy</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6"/>
                <w:szCs w:val="16"/>
                <w:b w:val="1"/>
                <w:bCs w:val="1"/>
                <w:color w:val="auto"/>
              </w:rPr>
              <w:t>RevPAR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jc w:val="right"/>
              <w:ind w:right="127"/>
              <w:spacing w:after="0"/>
              <w:rPr>
                <w:sz w:val="20"/>
                <w:szCs w:val="20"/>
                <w:color w:val="auto"/>
              </w:rPr>
            </w:pPr>
            <w:r>
              <w:rPr>
                <w:rFonts w:ascii="Arial" w:cs="Arial" w:eastAsia="Arial" w:hAnsi="Arial"/>
                <w:sz w:val="16"/>
                <w:szCs w:val="16"/>
                <w:b w:val="1"/>
                <w:bCs w:val="1"/>
                <w:color w:val="auto"/>
              </w:rPr>
              <w:t>Margin</w:t>
            </w:r>
          </w:p>
        </w:tc>
        <w:tc>
          <w:tcPr>
            <w:tcW w:w="640" w:type="dxa"/>
            <w:vAlign w:val="bottom"/>
          </w:tcPr>
          <w:p>
            <w:pPr>
              <w:spacing w:after="0"/>
              <w:rPr>
                <w:sz w:val="18"/>
                <w:szCs w:val="18"/>
                <w:color w:val="auto"/>
              </w:rPr>
            </w:pPr>
          </w:p>
        </w:tc>
      </w:tr>
      <w:tr>
        <w:trPr>
          <w:trHeight w:val="33"/>
        </w:trPr>
        <w:tc>
          <w:tcPr>
            <w:tcW w:w="21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2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1Q 2020</w:t>
            </w:r>
          </w:p>
        </w:tc>
        <w:tc>
          <w:tcPr>
            <w:tcW w:w="78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1Q 2019</w:t>
            </w:r>
          </w:p>
        </w:tc>
        <w:tc>
          <w:tcPr>
            <w:tcW w:w="740" w:type="dxa"/>
            <w:vAlign w:val="bottom"/>
            <w:gridSpan w:val="2"/>
          </w:tcPr>
          <w:p>
            <w:pPr>
              <w:ind w:left="100"/>
              <w:spacing w:after="0"/>
              <w:rPr>
                <w:sz w:val="20"/>
                <w:szCs w:val="20"/>
                <w:color w:val="auto"/>
              </w:rPr>
            </w:pPr>
            <w:r>
              <w:rPr>
                <w:rFonts w:ascii="Arial" w:cs="Arial" w:eastAsia="Arial" w:hAnsi="Arial"/>
                <w:sz w:val="16"/>
                <w:szCs w:val="16"/>
                <w:b w:val="1"/>
                <w:bCs w:val="1"/>
                <w:color w:val="auto"/>
              </w:rPr>
              <w:t>B/(W)</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7"/>
              </w:rPr>
              <w:t>1Q 2020</w:t>
            </w:r>
          </w:p>
        </w:tc>
        <w:tc>
          <w:tcPr>
            <w:tcW w:w="840" w:type="dxa"/>
            <w:vAlign w:val="bottom"/>
          </w:tcPr>
          <w:p>
            <w:pPr>
              <w:jc w:val="right"/>
              <w:ind w:right="87"/>
              <w:spacing w:after="0"/>
              <w:rPr>
                <w:sz w:val="20"/>
                <w:szCs w:val="20"/>
                <w:color w:val="auto"/>
              </w:rPr>
            </w:pPr>
            <w:r>
              <w:rPr>
                <w:rFonts w:ascii="Arial" w:cs="Arial" w:eastAsia="Arial" w:hAnsi="Arial"/>
                <w:sz w:val="16"/>
                <w:szCs w:val="16"/>
                <w:b w:val="1"/>
                <w:bCs w:val="1"/>
                <w:color w:val="auto"/>
              </w:rPr>
              <w:t>1Q 2019</w:t>
            </w:r>
          </w:p>
        </w:tc>
        <w:tc>
          <w:tcPr>
            <w:tcW w:w="780" w:type="dxa"/>
            <w:vAlign w:val="bottom"/>
            <w:gridSpan w:val="2"/>
          </w:tcPr>
          <w:p>
            <w:pPr>
              <w:ind w:left="40"/>
              <w:spacing w:after="0"/>
              <w:rPr>
                <w:sz w:val="20"/>
                <w:szCs w:val="20"/>
                <w:color w:val="auto"/>
              </w:rPr>
            </w:pPr>
            <w:r>
              <w:rPr>
                <w:rFonts w:ascii="Arial" w:cs="Arial" w:eastAsia="Arial" w:hAnsi="Arial"/>
                <w:sz w:val="16"/>
                <w:szCs w:val="16"/>
                <w:b w:val="1"/>
                <w:bCs w:val="1"/>
                <w:color w:val="auto"/>
              </w:rPr>
              <w:t>B/(W)</w:t>
            </w: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1Q 2020</w:t>
            </w:r>
          </w:p>
        </w:tc>
        <w:tc>
          <w:tcPr>
            <w:tcW w:w="800" w:type="dxa"/>
            <w:vAlign w:val="bottom"/>
            <w:gridSpan w:val="2"/>
          </w:tcPr>
          <w:p>
            <w:pPr>
              <w:ind w:left="120"/>
              <w:spacing w:after="0"/>
              <w:rPr>
                <w:sz w:val="20"/>
                <w:szCs w:val="20"/>
                <w:color w:val="auto"/>
              </w:rPr>
            </w:pPr>
            <w:r>
              <w:rPr>
                <w:rFonts w:ascii="Arial" w:cs="Arial" w:eastAsia="Arial" w:hAnsi="Arial"/>
                <w:sz w:val="16"/>
                <w:szCs w:val="16"/>
                <w:b w:val="1"/>
                <w:bCs w:val="1"/>
                <w:color w:val="auto"/>
              </w:rPr>
              <w:t>1Q 2019</w:t>
            </w:r>
          </w:p>
        </w:tc>
        <w:tc>
          <w:tcPr>
            <w:tcW w:w="740" w:type="dxa"/>
            <w:vAlign w:val="bottom"/>
            <w:gridSpan w:val="2"/>
          </w:tcPr>
          <w:p>
            <w:pPr>
              <w:ind w:left="100"/>
              <w:spacing w:after="0"/>
              <w:rPr>
                <w:sz w:val="20"/>
                <w:szCs w:val="20"/>
                <w:color w:val="auto"/>
              </w:rPr>
            </w:pPr>
            <w:r>
              <w:rPr>
                <w:rFonts w:ascii="Arial" w:cs="Arial" w:eastAsia="Arial" w:hAnsi="Arial"/>
                <w:sz w:val="16"/>
                <w:szCs w:val="16"/>
                <w:b w:val="1"/>
                <w:bCs w:val="1"/>
                <w:color w:val="auto"/>
              </w:rPr>
              <w:t>B/(W)</w:t>
            </w:r>
          </w:p>
        </w:tc>
        <w:tc>
          <w:tcPr>
            <w:tcW w:w="780" w:type="dxa"/>
            <w:vAlign w:val="bottom"/>
          </w:tcPr>
          <w:p>
            <w:pPr>
              <w:jc w:val="right"/>
              <w:ind w:right="47"/>
              <w:spacing w:after="0"/>
              <w:rPr>
                <w:sz w:val="20"/>
                <w:szCs w:val="20"/>
                <w:color w:val="auto"/>
              </w:rPr>
            </w:pPr>
            <w:r>
              <w:rPr>
                <w:rFonts w:ascii="Arial" w:cs="Arial" w:eastAsia="Arial" w:hAnsi="Arial"/>
                <w:sz w:val="16"/>
                <w:szCs w:val="16"/>
                <w:b w:val="1"/>
                <w:bCs w:val="1"/>
                <w:color w:val="auto"/>
              </w:rPr>
              <w:t>1Q 2020</w:t>
            </w:r>
          </w:p>
        </w:tc>
        <w:tc>
          <w:tcPr>
            <w:tcW w:w="800" w:type="dxa"/>
            <w:vAlign w:val="bottom"/>
          </w:tcPr>
          <w:p>
            <w:pPr>
              <w:jc w:val="right"/>
              <w:ind w:right="67"/>
              <w:spacing w:after="0"/>
              <w:rPr>
                <w:sz w:val="20"/>
                <w:szCs w:val="20"/>
                <w:color w:val="auto"/>
              </w:rPr>
            </w:pPr>
            <w:r>
              <w:rPr>
                <w:rFonts w:ascii="Arial" w:cs="Arial" w:eastAsia="Arial" w:hAnsi="Arial"/>
                <w:sz w:val="16"/>
                <w:szCs w:val="16"/>
                <w:b w:val="1"/>
                <w:bCs w:val="1"/>
                <w:color w:val="auto"/>
              </w:rPr>
              <w:t>1Q 2019</w:t>
            </w:r>
          </w:p>
        </w:tc>
        <w:tc>
          <w:tcPr>
            <w:tcW w:w="640" w:type="dxa"/>
            <w:vAlign w:val="bottom"/>
          </w:tcPr>
          <w:p>
            <w:pPr>
              <w:jc w:val="right"/>
              <w:ind w:right="28"/>
              <w:spacing w:after="0"/>
              <w:rPr>
                <w:sz w:val="20"/>
                <w:szCs w:val="20"/>
                <w:color w:val="auto"/>
              </w:rPr>
            </w:pPr>
            <w:r>
              <w:rPr>
                <w:rFonts w:ascii="Arial" w:cs="Arial" w:eastAsia="Arial" w:hAnsi="Arial"/>
                <w:sz w:val="16"/>
                <w:szCs w:val="16"/>
                <w:b w:val="1"/>
                <w:bCs w:val="1"/>
                <w:color w:val="auto"/>
              </w:rPr>
              <w:t>B/(W)</w:t>
            </w:r>
          </w:p>
        </w:tc>
      </w:tr>
      <w:tr>
        <w:trPr>
          <w:trHeight w:val="33"/>
        </w:trPr>
        <w:tc>
          <w:tcPr>
            <w:tcW w:w="2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Atlanta Alpharetta Marriott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173.72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177.33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70.5%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89.35</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124.93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28.10 %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38.67 %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-1057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Bethesda Marriott Suites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171.19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172.21</w:t>
            </w:r>
          </w:p>
        </w:tc>
        <w:tc>
          <w:tcPr>
            <w:tcW w:w="62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47.4%</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65.3%</w:t>
            </w:r>
          </w:p>
        </w:tc>
        <w:tc>
          <w:tcPr>
            <w:tcW w:w="580" w:type="dxa"/>
            <w:vAlign w:val="bottom"/>
          </w:tcPr>
          <w:p>
            <w:pPr>
              <w:jc w:val="right"/>
              <w:spacing w:after="0"/>
              <w:rPr>
                <w:sz w:val="20"/>
                <w:szCs w:val="20"/>
                <w:color w:val="auto"/>
              </w:rPr>
            </w:pPr>
            <w:r>
              <w:rPr>
                <w:rFonts w:ascii="Arial" w:cs="Arial" w:eastAsia="Arial" w:hAnsi="Arial"/>
                <w:sz w:val="14"/>
                <w:szCs w:val="14"/>
                <w:color w:val="auto"/>
              </w:rPr>
              <w:t>(17.9)%</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81.17</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112.46</w:t>
            </w:r>
          </w:p>
        </w:tc>
        <w:tc>
          <w:tcPr>
            <w:tcW w:w="62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(1.96)%</w:t>
            </w:r>
          </w:p>
        </w:tc>
        <w:tc>
          <w:tcPr>
            <w:tcW w:w="800" w:type="dxa"/>
            <w:vAlign w:val="bottom"/>
          </w:tcPr>
          <w:p>
            <w:pPr>
              <w:jc w:val="right"/>
              <w:spacing w:after="0"/>
              <w:rPr>
                <w:sz w:val="20"/>
                <w:szCs w:val="20"/>
                <w:color w:val="auto"/>
              </w:rPr>
            </w:pPr>
            <w:r>
              <w:rPr>
                <w:rFonts w:ascii="Arial" w:cs="Arial" w:eastAsia="Arial" w:hAnsi="Arial"/>
                <w:sz w:val="14"/>
                <w:szCs w:val="14"/>
                <w:color w:val="auto"/>
              </w:rPr>
              <w:t>26.21 %</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-2817 bps</w:t>
            </w: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Boston Westin</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202.24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65.5%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117.65</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132.39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5.62 %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-827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Hilton Boston Downtown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192.00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197.84</w:t>
            </w:r>
          </w:p>
        </w:tc>
        <w:tc>
          <w:tcPr>
            <w:tcW w:w="62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65.7%</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83.5%</w:t>
            </w:r>
          </w:p>
        </w:tc>
        <w:tc>
          <w:tcPr>
            <w:tcW w:w="580" w:type="dxa"/>
            <w:vAlign w:val="bottom"/>
          </w:tcPr>
          <w:p>
            <w:pPr>
              <w:jc w:val="right"/>
              <w:spacing w:after="0"/>
              <w:rPr>
                <w:sz w:val="20"/>
                <w:szCs w:val="20"/>
                <w:color w:val="auto"/>
              </w:rPr>
            </w:pPr>
            <w:r>
              <w:rPr>
                <w:rFonts w:ascii="Arial" w:cs="Arial" w:eastAsia="Arial" w:hAnsi="Arial"/>
                <w:sz w:val="14"/>
                <w:szCs w:val="14"/>
                <w:color w:val="auto"/>
              </w:rPr>
              <w:t>(17.8)%</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126.06</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165.25</w:t>
            </w:r>
          </w:p>
        </w:tc>
        <w:tc>
          <w:tcPr>
            <w:tcW w:w="620" w:type="dxa"/>
            <w:vAlign w:val="bottom"/>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3.47 %</w:t>
            </w:r>
          </w:p>
        </w:tc>
        <w:tc>
          <w:tcPr>
            <w:tcW w:w="800" w:type="dxa"/>
            <w:vAlign w:val="bottom"/>
          </w:tcPr>
          <w:p>
            <w:pPr>
              <w:jc w:val="right"/>
              <w:spacing w:after="0"/>
              <w:rPr>
                <w:sz w:val="20"/>
                <w:szCs w:val="20"/>
                <w:color w:val="auto"/>
              </w:rPr>
            </w:pPr>
            <w:r>
              <w:rPr>
                <w:rFonts w:ascii="Arial" w:cs="Arial" w:eastAsia="Arial" w:hAnsi="Arial"/>
                <w:sz w:val="14"/>
                <w:szCs w:val="14"/>
                <w:color w:val="auto"/>
              </w:rPr>
              <w:t>17.34 %</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-1387 bps</w:t>
            </w: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Hilton Burlington</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130.74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70.7%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52.78</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92.39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(18.76)%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18.62 %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-3738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Cavallo Point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444.90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437.76</w:t>
            </w:r>
          </w:p>
        </w:tc>
        <w:tc>
          <w:tcPr>
            <w:tcW w:w="620" w:type="dxa"/>
            <w:vAlign w:val="bottom"/>
          </w:tcPr>
          <w:p>
            <w:pPr>
              <w:jc w:val="right"/>
              <w:spacing w:after="0"/>
              <w:rPr>
                <w:sz w:val="20"/>
                <w:szCs w:val="20"/>
                <w:color w:val="auto"/>
              </w:rPr>
            </w:pPr>
            <w:r>
              <w:rPr>
                <w:rFonts w:ascii="Arial" w:cs="Arial" w:eastAsia="Arial" w:hAnsi="Arial"/>
                <w:sz w:val="14"/>
                <w:szCs w:val="14"/>
                <w:color w:val="auto"/>
              </w:rPr>
              <w:t>1.6 %</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46.4%</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63.4%</w:t>
            </w:r>
          </w:p>
        </w:tc>
        <w:tc>
          <w:tcPr>
            <w:tcW w:w="580" w:type="dxa"/>
            <w:vAlign w:val="bottom"/>
          </w:tcPr>
          <w:p>
            <w:pPr>
              <w:jc w:val="right"/>
              <w:spacing w:after="0"/>
              <w:rPr>
                <w:sz w:val="20"/>
                <w:szCs w:val="20"/>
                <w:color w:val="auto"/>
              </w:rPr>
            </w:pPr>
            <w:r>
              <w:rPr>
                <w:rFonts w:ascii="Arial" w:cs="Arial" w:eastAsia="Arial" w:hAnsi="Arial"/>
                <w:sz w:val="14"/>
                <w:szCs w:val="14"/>
                <w:color w:val="auto"/>
              </w:rPr>
              <w:t>(17.0)%</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206.44</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277.38</w:t>
            </w:r>
          </w:p>
        </w:tc>
        <w:tc>
          <w:tcPr>
            <w:tcW w:w="620" w:type="dxa"/>
            <w:vAlign w:val="bottom"/>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11.61 %</w:t>
            </w:r>
          </w:p>
        </w:tc>
        <w:tc>
          <w:tcPr>
            <w:tcW w:w="800" w:type="dxa"/>
            <w:vAlign w:val="bottom"/>
          </w:tcPr>
          <w:p>
            <w:pPr>
              <w:jc w:val="right"/>
              <w:spacing w:after="0"/>
              <w:rPr>
                <w:sz w:val="20"/>
                <w:szCs w:val="20"/>
                <w:color w:val="auto"/>
              </w:rPr>
            </w:pPr>
            <w:r>
              <w:rPr>
                <w:rFonts w:ascii="Arial" w:cs="Arial" w:eastAsia="Arial" w:hAnsi="Arial"/>
                <w:sz w:val="14"/>
                <w:szCs w:val="14"/>
                <w:color w:val="auto"/>
              </w:rPr>
              <w:t>18.94 %</w:t>
            </w:r>
          </w:p>
        </w:tc>
        <w:tc>
          <w:tcPr>
            <w:tcW w:w="640" w:type="dxa"/>
            <w:vAlign w:val="bottom"/>
          </w:tcPr>
          <w:p>
            <w:pPr>
              <w:jc w:val="right"/>
              <w:spacing w:after="0"/>
              <w:rPr>
                <w:sz w:val="20"/>
                <w:szCs w:val="20"/>
                <w:color w:val="auto"/>
              </w:rPr>
            </w:pPr>
            <w:r>
              <w:rPr>
                <w:rFonts w:ascii="Arial" w:cs="Arial" w:eastAsia="Arial" w:hAnsi="Arial"/>
                <w:sz w:val="14"/>
                <w:szCs w:val="14"/>
                <w:color w:val="auto"/>
              </w:rPr>
              <w:t>-733 bps</w:t>
            </w:r>
          </w:p>
        </w:tc>
      </w:tr>
      <w:tr>
        <w:trPr>
          <w:trHeight w:val="276"/>
        </w:trPr>
        <w:tc>
          <w:tcPr>
            <w:tcW w:w="2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Renaissance Charleston</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236.72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83.8%</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154.89</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198.44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21.09 %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36.20 %</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-1511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Chicago Marriott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164.30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158.35</w:t>
            </w:r>
          </w:p>
        </w:tc>
        <w:tc>
          <w:tcPr>
            <w:tcW w:w="620" w:type="dxa"/>
            <w:vAlign w:val="bottom"/>
          </w:tcPr>
          <w:p>
            <w:pPr>
              <w:jc w:val="right"/>
              <w:spacing w:after="0"/>
              <w:rPr>
                <w:sz w:val="20"/>
                <w:szCs w:val="20"/>
                <w:color w:val="auto"/>
              </w:rPr>
            </w:pPr>
            <w:r>
              <w:rPr>
                <w:rFonts w:ascii="Arial" w:cs="Arial" w:eastAsia="Arial" w:hAnsi="Arial"/>
                <w:sz w:val="14"/>
                <w:szCs w:val="14"/>
                <w:color w:val="auto"/>
              </w:rPr>
              <w:t>3.8 %</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43.0%</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51.7%</w:t>
            </w:r>
          </w:p>
        </w:tc>
        <w:tc>
          <w:tcPr>
            <w:tcW w:w="580" w:type="dxa"/>
            <w:vAlign w:val="bottom"/>
          </w:tcPr>
          <w:p>
            <w:pPr>
              <w:jc w:val="right"/>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70.59</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81.79</w:t>
            </w:r>
          </w:p>
        </w:tc>
        <w:tc>
          <w:tcPr>
            <w:tcW w:w="62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(27.09)%</w:t>
            </w:r>
          </w:p>
        </w:tc>
        <w:tc>
          <w:tcPr>
            <w:tcW w:w="800" w:type="dxa"/>
            <w:vAlign w:val="bottom"/>
          </w:tcPr>
          <w:p>
            <w:pPr>
              <w:jc w:val="right"/>
              <w:spacing w:after="0"/>
              <w:rPr>
                <w:sz w:val="20"/>
                <w:szCs w:val="20"/>
                <w:color w:val="auto"/>
              </w:rPr>
            </w:pPr>
            <w:r>
              <w:rPr>
                <w:rFonts w:ascii="Arial" w:cs="Arial" w:eastAsia="Arial" w:hAnsi="Arial"/>
                <w:sz w:val="14"/>
                <w:szCs w:val="14"/>
                <w:color w:val="auto"/>
              </w:rPr>
              <w:t>(1.64)%</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-2545 bps</w:t>
            </w:r>
          </w:p>
        </w:tc>
      </w:tr>
      <w:tr>
        <w:trPr>
          <w:trHeight w:val="276"/>
        </w:trPr>
        <w:tc>
          <w:tcPr>
            <w:tcW w:w="2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Chicago Gwen</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188.98</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70.4%</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117.59</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133.05</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(9.30)%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Courtyard Denver Downtown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171.92</w:t>
            </w: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46.4%</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73.3%</w:t>
            </w:r>
          </w:p>
        </w:tc>
        <w:tc>
          <w:tcPr>
            <w:tcW w:w="580" w:type="dxa"/>
            <w:vAlign w:val="bottom"/>
          </w:tcPr>
          <w:p>
            <w:pPr>
              <w:jc w:val="right"/>
              <w:spacing w:after="0"/>
              <w:rPr>
                <w:sz w:val="20"/>
                <w:szCs w:val="20"/>
                <w:color w:val="auto"/>
              </w:rPr>
            </w:pPr>
            <w:r>
              <w:rPr>
                <w:rFonts w:ascii="Arial" w:cs="Arial" w:eastAsia="Arial" w:hAnsi="Arial"/>
                <w:sz w:val="14"/>
                <w:szCs w:val="14"/>
                <w:color w:val="auto"/>
              </w:rPr>
              <w:t>(26.9)%</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78.96</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126.00</w:t>
            </w:r>
          </w:p>
        </w:tc>
        <w:tc>
          <w:tcPr>
            <w:tcW w:w="620" w:type="dxa"/>
            <w:vAlign w:val="bottom"/>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23.25 %</w:t>
            </w:r>
          </w:p>
        </w:tc>
        <w:tc>
          <w:tcPr>
            <w:tcW w:w="800" w:type="dxa"/>
            <w:vAlign w:val="bottom"/>
          </w:tcPr>
          <w:p>
            <w:pPr>
              <w:jc w:val="right"/>
              <w:spacing w:after="0"/>
              <w:rPr>
                <w:sz w:val="20"/>
                <w:szCs w:val="20"/>
                <w:color w:val="auto"/>
              </w:rPr>
            </w:pPr>
            <w:r>
              <w:rPr>
                <w:rFonts w:ascii="Arial" w:cs="Arial" w:eastAsia="Arial" w:hAnsi="Arial"/>
                <w:sz w:val="14"/>
                <w:szCs w:val="14"/>
                <w:color w:val="auto"/>
              </w:rPr>
              <w:t>37.59 %</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-1434 bps</w:t>
            </w:r>
          </w:p>
        </w:tc>
      </w:tr>
      <w:tr>
        <w:trPr>
          <w:trHeight w:val="276"/>
        </w:trPr>
        <w:tc>
          <w:tcPr>
            <w:tcW w:w="2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Hotel Emblem</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247.10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57.5%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172.02</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142.06</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21.1 %</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15.94 %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1.41 %</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Courtyard Fifth Avenue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205.95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212.18</w:t>
            </w:r>
          </w:p>
        </w:tc>
        <w:tc>
          <w:tcPr>
            <w:tcW w:w="62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61.6%</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77.4%</w:t>
            </w:r>
          </w:p>
        </w:tc>
        <w:tc>
          <w:tcPr>
            <w:tcW w:w="580" w:type="dxa"/>
            <w:vAlign w:val="bottom"/>
          </w:tcPr>
          <w:p>
            <w:pPr>
              <w:jc w:val="right"/>
              <w:spacing w:after="0"/>
              <w:rPr>
                <w:sz w:val="20"/>
                <w:szCs w:val="20"/>
                <w:color w:val="auto"/>
              </w:rPr>
            </w:pPr>
            <w:r>
              <w:rPr>
                <w:rFonts w:ascii="Arial" w:cs="Arial" w:eastAsia="Arial" w:hAnsi="Arial"/>
                <w:sz w:val="14"/>
                <w:szCs w:val="14"/>
                <w:color w:val="auto"/>
              </w:rPr>
              <w:t>(15.8)%</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126.83</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164.30</w:t>
            </w:r>
          </w:p>
        </w:tc>
        <w:tc>
          <w:tcPr>
            <w:tcW w:w="62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(34.67)%</w:t>
            </w:r>
          </w:p>
        </w:tc>
        <w:tc>
          <w:tcPr>
            <w:tcW w:w="800" w:type="dxa"/>
            <w:vAlign w:val="bottom"/>
          </w:tcPr>
          <w:p>
            <w:pPr>
              <w:jc w:val="right"/>
              <w:spacing w:after="0"/>
              <w:rPr>
                <w:sz w:val="20"/>
                <w:szCs w:val="20"/>
                <w:color w:val="auto"/>
              </w:rPr>
            </w:pPr>
            <w:r>
              <w:rPr>
                <w:rFonts w:ascii="Arial" w:cs="Arial" w:eastAsia="Arial" w:hAnsi="Arial"/>
                <w:sz w:val="14"/>
                <w:szCs w:val="14"/>
                <w:color w:val="auto"/>
              </w:rPr>
              <w:t>(7.32)%</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-2735 bps</w:t>
            </w: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Courtyard Midtown East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167.45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190.02</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92.0%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128.39</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174.85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(27.18)%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0.55 %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-2773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Fort Lauderdale Westin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276.24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254.27</w:t>
            </w:r>
          </w:p>
        </w:tc>
        <w:tc>
          <w:tcPr>
            <w:tcW w:w="620" w:type="dxa"/>
            <w:vAlign w:val="bottom"/>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80.6%</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95.5%</w:t>
            </w:r>
          </w:p>
        </w:tc>
        <w:tc>
          <w:tcPr>
            <w:tcW w:w="580" w:type="dxa"/>
            <w:vAlign w:val="bottom"/>
          </w:tcPr>
          <w:p>
            <w:pPr>
              <w:jc w:val="right"/>
              <w:spacing w:after="0"/>
              <w:rPr>
                <w:sz w:val="20"/>
                <w:szCs w:val="20"/>
                <w:color w:val="auto"/>
              </w:rPr>
            </w:pPr>
            <w:r>
              <w:rPr>
                <w:rFonts w:ascii="Arial" w:cs="Arial" w:eastAsia="Arial" w:hAnsi="Arial"/>
                <w:sz w:val="14"/>
                <w:szCs w:val="14"/>
                <w:color w:val="auto"/>
              </w:rPr>
              <w:t>(14.9)%</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222.56</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242.76</w:t>
            </w:r>
          </w:p>
        </w:tc>
        <w:tc>
          <w:tcPr>
            <w:tcW w:w="62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41.69 %</w:t>
            </w:r>
          </w:p>
        </w:tc>
        <w:tc>
          <w:tcPr>
            <w:tcW w:w="800" w:type="dxa"/>
            <w:vAlign w:val="bottom"/>
          </w:tcPr>
          <w:p>
            <w:pPr>
              <w:jc w:val="right"/>
              <w:spacing w:after="0"/>
              <w:rPr>
                <w:sz w:val="20"/>
                <w:szCs w:val="20"/>
                <w:color w:val="auto"/>
              </w:rPr>
            </w:pPr>
            <w:r>
              <w:rPr>
                <w:rFonts w:ascii="Arial" w:cs="Arial" w:eastAsia="Arial" w:hAnsi="Arial"/>
                <w:sz w:val="14"/>
                <w:szCs w:val="14"/>
                <w:color w:val="auto"/>
              </w:rPr>
              <w:t>42.84 %</w:t>
            </w:r>
          </w:p>
        </w:tc>
        <w:tc>
          <w:tcPr>
            <w:tcW w:w="640" w:type="dxa"/>
            <w:vAlign w:val="bottom"/>
          </w:tcPr>
          <w:p>
            <w:pPr>
              <w:jc w:val="right"/>
              <w:spacing w:after="0"/>
              <w:rPr>
                <w:sz w:val="20"/>
                <w:szCs w:val="20"/>
                <w:color w:val="auto"/>
              </w:rPr>
            </w:pPr>
            <w:r>
              <w:rPr>
                <w:rFonts w:ascii="Arial" w:cs="Arial" w:eastAsia="Arial" w:hAnsi="Arial"/>
                <w:sz w:val="14"/>
                <w:szCs w:val="14"/>
                <w:color w:val="auto"/>
              </w:rPr>
              <w:t>-115 bps</w:t>
            </w:r>
          </w:p>
        </w:tc>
      </w:tr>
      <w:tr>
        <w:trPr>
          <w:trHeight w:val="163"/>
        </w:trPr>
        <w:tc>
          <w:tcPr>
            <w:tcW w:w="2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JW Marriott Denver Cherry</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4"/>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Creek</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240.96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46.5%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130.42</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112.09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5.81 %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1504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Havana Cabana Key West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286.60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254.41</w:t>
            </w:r>
          </w:p>
        </w:tc>
        <w:tc>
          <w:tcPr>
            <w:tcW w:w="620" w:type="dxa"/>
            <w:vAlign w:val="bottom"/>
          </w:tcPr>
          <w:p>
            <w:pPr>
              <w:jc w:val="right"/>
              <w:spacing w:after="0"/>
              <w:rPr>
                <w:sz w:val="20"/>
                <w:szCs w:val="20"/>
                <w:color w:val="auto"/>
              </w:rPr>
            </w:pPr>
            <w:r>
              <w:rPr>
                <w:rFonts w:ascii="Arial" w:cs="Arial" w:eastAsia="Arial" w:hAnsi="Arial"/>
                <w:sz w:val="14"/>
                <w:szCs w:val="14"/>
                <w:color w:val="auto"/>
              </w:rPr>
              <w:t>12.7 %</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80.8%</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94.7%</w:t>
            </w:r>
          </w:p>
        </w:tc>
        <w:tc>
          <w:tcPr>
            <w:tcW w:w="580" w:type="dxa"/>
            <w:vAlign w:val="bottom"/>
          </w:tcPr>
          <w:p>
            <w:pPr>
              <w:jc w:val="right"/>
              <w:spacing w:after="0"/>
              <w:rPr>
                <w:sz w:val="20"/>
                <w:szCs w:val="20"/>
                <w:color w:val="auto"/>
              </w:rPr>
            </w:pPr>
            <w:r>
              <w:rPr>
                <w:rFonts w:ascii="Arial" w:cs="Arial" w:eastAsia="Arial" w:hAnsi="Arial"/>
                <w:sz w:val="14"/>
                <w:szCs w:val="14"/>
                <w:color w:val="auto"/>
              </w:rPr>
              <w:t>(13.9)%</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231.60</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240.94</w:t>
            </w:r>
          </w:p>
        </w:tc>
        <w:tc>
          <w:tcPr>
            <w:tcW w:w="6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41.60 %</w:t>
            </w:r>
          </w:p>
        </w:tc>
        <w:tc>
          <w:tcPr>
            <w:tcW w:w="800" w:type="dxa"/>
            <w:vAlign w:val="bottom"/>
          </w:tcPr>
          <w:p>
            <w:pPr>
              <w:jc w:val="right"/>
              <w:spacing w:after="0"/>
              <w:rPr>
                <w:sz w:val="20"/>
                <w:szCs w:val="20"/>
                <w:color w:val="auto"/>
              </w:rPr>
            </w:pPr>
            <w:r>
              <w:rPr>
                <w:rFonts w:ascii="Arial" w:cs="Arial" w:eastAsia="Arial" w:hAnsi="Arial"/>
                <w:sz w:val="14"/>
                <w:szCs w:val="14"/>
                <w:color w:val="auto"/>
              </w:rPr>
              <w:t>49.62 %</w:t>
            </w:r>
          </w:p>
        </w:tc>
        <w:tc>
          <w:tcPr>
            <w:tcW w:w="640" w:type="dxa"/>
            <w:vAlign w:val="bottom"/>
          </w:tcPr>
          <w:p>
            <w:pPr>
              <w:jc w:val="right"/>
              <w:spacing w:after="0"/>
              <w:rPr>
                <w:sz w:val="20"/>
                <w:szCs w:val="20"/>
                <w:color w:val="auto"/>
              </w:rPr>
            </w:pPr>
            <w:r>
              <w:rPr>
                <w:rFonts w:ascii="Arial" w:cs="Arial" w:eastAsia="Arial" w:hAnsi="Arial"/>
                <w:sz w:val="14"/>
                <w:szCs w:val="14"/>
                <w:color w:val="auto"/>
              </w:rPr>
              <w:t>-802 bps</w:t>
            </w: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Sheraton Suites Key West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328.93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310.04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94.1%</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269.09</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291.63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37.21 %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47.17 %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-996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The Landing Resort &amp; Spa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281.05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275.79</w:t>
            </w:r>
          </w:p>
        </w:tc>
        <w:tc>
          <w:tcPr>
            <w:tcW w:w="620" w:type="dxa"/>
            <w:vAlign w:val="bottom"/>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47.3%</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53.0%</w:t>
            </w:r>
          </w:p>
        </w:tc>
        <w:tc>
          <w:tcPr>
            <w:tcW w:w="580" w:type="dxa"/>
            <w:vAlign w:val="bottom"/>
          </w:tcPr>
          <w:p>
            <w:pPr>
              <w:jc w:val="right"/>
              <w:spacing w:after="0"/>
              <w:rPr>
                <w:sz w:val="20"/>
                <w:szCs w:val="20"/>
                <w:color w:val="auto"/>
              </w:rPr>
            </w:pPr>
            <w:r>
              <w:rPr>
                <w:rFonts w:ascii="Arial" w:cs="Arial" w:eastAsia="Arial" w:hAnsi="Arial"/>
                <w:sz w:val="14"/>
                <w:szCs w:val="14"/>
                <w:color w:val="auto"/>
              </w:rPr>
              <w:t>(5.7)%</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132.92</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146.21</w:t>
            </w:r>
          </w:p>
        </w:tc>
        <w:tc>
          <w:tcPr>
            <w:tcW w:w="62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(0.22)%</w:t>
            </w:r>
          </w:p>
        </w:tc>
        <w:tc>
          <w:tcPr>
            <w:tcW w:w="800" w:type="dxa"/>
            <w:vAlign w:val="bottom"/>
          </w:tcPr>
          <w:p>
            <w:pPr>
              <w:jc w:val="right"/>
              <w:spacing w:after="0"/>
              <w:rPr>
                <w:sz w:val="20"/>
                <w:szCs w:val="20"/>
                <w:color w:val="auto"/>
              </w:rPr>
            </w:pPr>
            <w:r>
              <w:rPr>
                <w:rFonts w:ascii="Arial" w:cs="Arial" w:eastAsia="Arial" w:hAnsi="Arial"/>
                <w:sz w:val="14"/>
                <w:szCs w:val="14"/>
                <w:color w:val="auto"/>
              </w:rPr>
              <w:t>(4.79)%</w:t>
            </w:r>
          </w:p>
        </w:tc>
        <w:tc>
          <w:tcPr>
            <w:tcW w:w="640" w:type="dxa"/>
            <w:vAlign w:val="bottom"/>
          </w:tcPr>
          <w:p>
            <w:pPr>
              <w:jc w:val="right"/>
              <w:spacing w:after="0"/>
              <w:rPr>
                <w:sz w:val="20"/>
                <w:szCs w:val="20"/>
                <w:color w:val="auto"/>
              </w:rPr>
            </w:pPr>
            <w:r>
              <w:rPr>
                <w:rFonts w:ascii="Arial" w:cs="Arial" w:eastAsia="Arial" w:hAnsi="Arial"/>
                <w:sz w:val="14"/>
                <w:szCs w:val="14"/>
                <w:color w:val="auto"/>
              </w:rPr>
              <w:t>457 bps</w:t>
            </w: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Lexington Hotel New York</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192.38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80.1%</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112.67</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154.04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(42.76)%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-3496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Hotel Palomar Phoenix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230.87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233.06</w:t>
            </w:r>
          </w:p>
        </w:tc>
        <w:tc>
          <w:tcPr>
            <w:tcW w:w="62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71.4%</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88.2%</w:t>
            </w: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164.76</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205.66</w:t>
            </w:r>
          </w:p>
        </w:tc>
        <w:tc>
          <w:tcPr>
            <w:tcW w:w="62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37.48 %</w:t>
            </w:r>
          </w:p>
        </w:tc>
        <w:tc>
          <w:tcPr>
            <w:tcW w:w="800" w:type="dxa"/>
            <w:vAlign w:val="bottom"/>
          </w:tcPr>
          <w:p>
            <w:pPr>
              <w:jc w:val="right"/>
              <w:spacing w:after="0"/>
              <w:rPr>
                <w:sz w:val="20"/>
                <w:szCs w:val="20"/>
                <w:color w:val="auto"/>
              </w:rPr>
            </w:pPr>
            <w:r>
              <w:rPr>
                <w:rFonts w:ascii="Arial" w:cs="Arial" w:eastAsia="Arial" w:hAnsi="Arial"/>
                <w:sz w:val="14"/>
                <w:szCs w:val="14"/>
                <w:color w:val="auto"/>
              </w:rPr>
              <w:t>40.39 %</w:t>
            </w:r>
          </w:p>
        </w:tc>
        <w:tc>
          <w:tcPr>
            <w:tcW w:w="640" w:type="dxa"/>
            <w:vAlign w:val="bottom"/>
          </w:tcPr>
          <w:p>
            <w:pPr>
              <w:jc w:val="right"/>
              <w:spacing w:after="0"/>
              <w:rPr>
                <w:sz w:val="20"/>
                <w:szCs w:val="20"/>
                <w:color w:val="auto"/>
              </w:rPr>
            </w:pPr>
            <w:r>
              <w:rPr>
                <w:rFonts w:ascii="Arial" w:cs="Arial" w:eastAsia="Arial" w:hAnsi="Arial"/>
                <w:sz w:val="14"/>
                <w:szCs w:val="14"/>
                <w:color w:val="auto"/>
              </w:rPr>
              <w:t>-291 bps</w:t>
            </w: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Salt Lake City Marriott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173.62</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59.2%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87.70</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102.73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31.86 %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31.89 %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-3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L'Auberge de Sedona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553.74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575.73</w:t>
            </w:r>
          </w:p>
        </w:tc>
        <w:tc>
          <w:tcPr>
            <w:tcW w:w="62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64.0%</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80.4%</w:t>
            </w:r>
          </w:p>
        </w:tc>
        <w:tc>
          <w:tcPr>
            <w:tcW w:w="580" w:type="dxa"/>
            <w:vAlign w:val="bottom"/>
          </w:tcPr>
          <w:p>
            <w:pPr>
              <w:jc w:val="right"/>
              <w:spacing w:after="0"/>
              <w:rPr>
                <w:sz w:val="20"/>
                <w:szCs w:val="20"/>
                <w:color w:val="auto"/>
              </w:rPr>
            </w:pPr>
            <w:r>
              <w:rPr>
                <w:rFonts w:ascii="Arial" w:cs="Arial" w:eastAsia="Arial" w:hAnsi="Arial"/>
                <w:sz w:val="14"/>
                <w:szCs w:val="14"/>
                <w:color w:val="auto"/>
              </w:rPr>
              <w:t>(16.4)%</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354.18</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462.91</w:t>
            </w:r>
          </w:p>
        </w:tc>
        <w:tc>
          <w:tcPr>
            <w:tcW w:w="62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2.86 %</w:t>
            </w:r>
          </w:p>
        </w:tc>
        <w:tc>
          <w:tcPr>
            <w:tcW w:w="800" w:type="dxa"/>
            <w:vAlign w:val="bottom"/>
          </w:tcPr>
          <w:p>
            <w:pPr>
              <w:jc w:val="right"/>
              <w:spacing w:after="0"/>
              <w:rPr>
                <w:sz w:val="20"/>
                <w:szCs w:val="20"/>
                <w:color w:val="auto"/>
              </w:rPr>
            </w:pPr>
            <w:r>
              <w:rPr>
                <w:rFonts w:ascii="Arial" w:cs="Arial" w:eastAsia="Arial" w:hAnsi="Arial"/>
                <w:sz w:val="14"/>
                <w:szCs w:val="14"/>
                <w:color w:val="auto"/>
              </w:rPr>
              <w:t>22.96 %</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-2010 bps</w:t>
            </w: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Orchards Inn Sedona</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255.22</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73.9%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118.75</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188.58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5.50 %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29.50 %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-2400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Shorebreak</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229.09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236.80</w:t>
            </w:r>
          </w:p>
        </w:tc>
        <w:tc>
          <w:tcPr>
            <w:tcW w:w="62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60.8%</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75.3%</w:t>
            </w:r>
          </w:p>
        </w:tc>
        <w:tc>
          <w:tcPr>
            <w:tcW w:w="580" w:type="dxa"/>
            <w:vAlign w:val="bottom"/>
          </w:tcPr>
          <w:p>
            <w:pPr>
              <w:jc w:val="right"/>
              <w:spacing w:after="0"/>
              <w:rPr>
                <w:sz w:val="20"/>
                <w:szCs w:val="20"/>
                <w:color w:val="auto"/>
              </w:rPr>
            </w:pPr>
            <w:r>
              <w:rPr>
                <w:rFonts w:ascii="Arial" w:cs="Arial" w:eastAsia="Arial" w:hAnsi="Arial"/>
                <w:sz w:val="14"/>
                <w:szCs w:val="14"/>
                <w:color w:val="auto"/>
              </w:rPr>
              <w:t>(14.5)%</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139.20</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178.23</w:t>
            </w:r>
          </w:p>
        </w:tc>
        <w:tc>
          <w:tcPr>
            <w:tcW w:w="62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16.52 %</w:t>
            </w:r>
          </w:p>
        </w:tc>
        <w:tc>
          <w:tcPr>
            <w:tcW w:w="800" w:type="dxa"/>
            <w:vAlign w:val="bottom"/>
          </w:tcPr>
          <w:p>
            <w:pPr>
              <w:jc w:val="right"/>
              <w:spacing w:after="0"/>
              <w:rPr>
                <w:sz w:val="20"/>
                <w:szCs w:val="20"/>
                <w:color w:val="auto"/>
              </w:rPr>
            </w:pPr>
            <w:r>
              <w:rPr>
                <w:rFonts w:ascii="Arial" w:cs="Arial" w:eastAsia="Arial" w:hAnsi="Arial"/>
                <w:sz w:val="14"/>
                <w:szCs w:val="14"/>
                <w:color w:val="auto"/>
              </w:rPr>
              <w:t>24.77 %</w:t>
            </w:r>
          </w:p>
        </w:tc>
        <w:tc>
          <w:tcPr>
            <w:tcW w:w="640" w:type="dxa"/>
            <w:vAlign w:val="bottom"/>
          </w:tcPr>
          <w:p>
            <w:pPr>
              <w:jc w:val="right"/>
              <w:spacing w:after="0"/>
              <w:rPr>
                <w:sz w:val="20"/>
                <w:szCs w:val="20"/>
                <w:color w:val="auto"/>
              </w:rPr>
            </w:pPr>
            <w:r>
              <w:rPr>
                <w:rFonts w:ascii="Arial" w:cs="Arial" w:eastAsia="Arial" w:hAnsi="Arial"/>
                <w:sz w:val="14"/>
                <w:szCs w:val="14"/>
                <w:color w:val="auto"/>
              </w:rPr>
              <w:t>-825 bps</w:t>
            </w: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The Lodge at Sonoma</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233.68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61.5%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105.52</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143.63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(10.51)%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10.55 %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-2106 bps</w:t>
            </w:r>
          </w:p>
        </w:tc>
      </w:tr>
      <w:tr>
        <w:trPr>
          <w:trHeight w:val="157"/>
        </w:trPr>
        <w:tc>
          <w:tcPr>
            <w:tcW w:w="2120" w:type="dxa"/>
            <w:vAlign w:val="bottom"/>
          </w:tcPr>
          <w:p>
            <w:pPr>
              <w:ind w:left="40"/>
              <w:spacing w:after="0" w:line="157" w:lineRule="exact"/>
              <w:rPr>
                <w:sz w:val="20"/>
                <w:szCs w:val="20"/>
                <w:color w:val="auto"/>
              </w:rPr>
            </w:pPr>
            <w:r>
              <w:rPr>
                <w:rFonts w:ascii="Arial" w:cs="Arial" w:eastAsia="Arial" w:hAnsi="Arial"/>
                <w:sz w:val="14"/>
                <w:szCs w:val="14"/>
                <w:color w:val="auto"/>
              </w:rPr>
              <w:t>Hilton Garden Inn Times Square</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8"/>
        </w:trPr>
        <w:tc>
          <w:tcPr>
            <w:tcW w:w="2120" w:type="dxa"/>
            <w:vAlign w:val="bottom"/>
          </w:tcPr>
          <w:p>
            <w:pPr>
              <w:ind w:left="40"/>
              <w:spacing w:after="0"/>
              <w:rPr>
                <w:sz w:val="20"/>
                <w:szCs w:val="20"/>
                <w:color w:val="auto"/>
              </w:rPr>
            </w:pPr>
            <w:r>
              <w:rPr>
                <w:rFonts w:ascii="Arial" w:cs="Arial" w:eastAsia="Arial" w:hAnsi="Arial"/>
                <w:sz w:val="14"/>
                <w:szCs w:val="14"/>
                <w:color w:val="auto"/>
              </w:rPr>
              <w:t>Central</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154.35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181.10</w:t>
            </w:r>
          </w:p>
        </w:tc>
        <w:tc>
          <w:tcPr>
            <w:tcW w:w="62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77.0%</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98.0%</w:t>
            </w:r>
          </w:p>
        </w:tc>
        <w:tc>
          <w:tcPr>
            <w:tcW w:w="580" w:type="dxa"/>
            <w:vAlign w:val="bottom"/>
          </w:tcPr>
          <w:p>
            <w:pPr>
              <w:jc w:val="right"/>
              <w:spacing w:after="0"/>
              <w:rPr>
                <w:sz w:val="20"/>
                <w:szCs w:val="20"/>
                <w:color w:val="auto"/>
              </w:rPr>
            </w:pPr>
            <w:r>
              <w:rPr>
                <w:rFonts w:ascii="Arial" w:cs="Arial" w:eastAsia="Arial" w:hAnsi="Arial"/>
                <w:sz w:val="14"/>
                <w:szCs w:val="14"/>
                <w:color w:val="auto"/>
              </w:rPr>
              <w:t>(21.0)%</w:t>
            </w:r>
          </w:p>
        </w:tc>
        <w:tc>
          <w:tcPr>
            <w:tcW w:w="2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118.80</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177.48</w:t>
            </w:r>
          </w:p>
        </w:tc>
        <w:tc>
          <w:tcPr>
            <w:tcW w:w="62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(33.97)%</w:t>
            </w:r>
          </w:p>
        </w:tc>
        <w:tc>
          <w:tcPr>
            <w:tcW w:w="800" w:type="dxa"/>
            <w:vAlign w:val="bottom"/>
          </w:tcPr>
          <w:p>
            <w:pPr>
              <w:jc w:val="right"/>
              <w:spacing w:after="0"/>
              <w:rPr>
                <w:sz w:val="20"/>
                <w:szCs w:val="20"/>
                <w:color w:val="auto"/>
              </w:rPr>
            </w:pPr>
            <w:r>
              <w:rPr>
                <w:rFonts w:ascii="Arial" w:cs="Arial" w:eastAsia="Arial" w:hAnsi="Arial"/>
                <w:sz w:val="14"/>
                <w:szCs w:val="14"/>
                <w:color w:val="auto"/>
              </w:rPr>
              <w:t>3.76 %</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-3773 bps</w:t>
            </w: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Vail Marriott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440.49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82.4%</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295.40</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362.79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40.17 %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48.94 %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-877 bps</w:t>
            </w: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color w:val="auto"/>
              </w:rPr>
              <w:t>Westin San Diego</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188.39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189.85</w:t>
            </w:r>
          </w:p>
        </w:tc>
        <w:tc>
          <w:tcPr>
            <w:tcW w:w="62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66.8%</w:t>
            </w:r>
          </w:p>
        </w:tc>
        <w:tc>
          <w:tcPr>
            <w:tcW w:w="840" w:type="dxa"/>
            <w:vAlign w:val="bottom"/>
          </w:tcPr>
          <w:p>
            <w:pPr>
              <w:jc w:val="right"/>
              <w:ind w:right="7"/>
              <w:spacing w:after="0"/>
              <w:rPr>
                <w:sz w:val="20"/>
                <w:szCs w:val="20"/>
                <w:color w:val="auto"/>
              </w:rPr>
            </w:pPr>
            <w:r>
              <w:rPr>
                <w:rFonts w:ascii="Arial" w:cs="Arial" w:eastAsia="Arial" w:hAnsi="Arial"/>
                <w:sz w:val="14"/>
                <w:szCs w:val="14"/>
                <w:color w:val="auto"/>
              </w:rPr>
              <w:t>77.5%</w:t>
            </w:r>
          </w:p>
        </w:tc>
        <w:tc>
          <w:tcPr>
            <w:tcW w:w="580" w:type="dxa"/>
            <w:vAlign w:val="bottom"/>
          </w:tcPr>
          <w:p>
            <w:pPr>
              <w:jc w:val="right"/>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125.88</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147.20</w:t>
            </w:r>
          </w:p>
        </w:tc>
        <w:tc>
          <w:tcPr>
            <w:tcW w:w="62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31.19 %</w:t>
            </w:r>
          </w:p>
        </w:tc>
        <w:tc>
          <w:tcPr>
            <w:tcW w:w="800" w:type="dxa"/>
            <w:vAlign w:val="bottom"/>
          </w:tcPr>
          <w:p>
            <w:pPr>
              <w:jc w:val="right"/>
              <w:spacing w:after="0"/>
              <w:rPr>
                <w:sz w:val="20"/>
                <w:szCs w:val="20"/>
                <w:color w:val="auto"/>
              </w:rPr>
            </w:pPr>
            <w:r>
              <w:rPr>
                <w:rFonts w:ascii="Arial" w:cs="Arial" w:eastAsia="Arial" w:hAnsi="Arial"/>
                <w:sz w:val="14"/>
                <w:szCs w:val="14"/>
                <w:color w:val="auto"/>
              </w:rPr>
              <w:t>40.00 %</w:t>
            </w:r>
          </w:p>
        </w:tc>
        <w:tc>
          <w:tcPr>
            <w:tcW w:w="640" w:type="dxa"/>
            <w:vAlign w:val="bottom"/>
          </w:tcPr>
          <w:p>
            <w:pPr>
              <w:jc w:val="right"/>
              <w:spacing w:after="0"/>
              <w:rPr>
                <w:sz w:val="20"/>
                <w:szCs w:val="20"/>
                <w:color w:val="auto"/>
              </w:rPr>
            </w:pPr>
            <w:r>
              <w:rPr>
                <w:rFonts w:ascii="Arial" w:cs="Arial" w:eastAsia="Arial" w:hAnsi="Arial"/>
                <w:sz w:val="14"/>
                <w:szCs w:val="14"/>
                <w:color w:val="auto"/>
              </w:rPr>
              <w:t>-881 bps</w:t>
            </w:r>
          </w:p>
        </w:tc>
      </w:tr>
      <w:tr>
        <w:trPr>
          <w:trHeight w:val="163"/>
        </w:trPr>
        <w:tc>
          <w:tcPr>
            <w:tcW w:w="2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Westin Washington D.C. City</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4"/>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201.14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77.5%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116.33</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155.88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7.28 %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24.64 %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-1736 bps</w:t>
            </w:r>
          </w:p>
        </w:tc>
      </w:tr>
      <w:tr>
        <w:trPr>
          <w:trHeight w:val="263"/>
        </w:trPr>
        <w:tc>
          <w:tcPr>
            <w:tcW w:w="2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Renaissance Worthington</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w:t>
            </w: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79.4%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112.30</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149.42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18.62 %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42.13 %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-2351 bps</w:t>
            </w:r>
          </w:p>
        </w:tc>
      </w:tr>
      <w:tr>
        <w:trPr>
          <w:trHeight w:val="248"/>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216.38</w:t>
            </w:r>
          </w:p>
        </w:tc>
        <w:tc>
          <w:tcPr>
            <w:tcW w:w="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 %</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73.2%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127.98</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158.30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10.48 %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23.28 %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-1280 bps</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sectPr>
      <w:pgSz w:w="11900" w:h="16838" w:orient="portrait"/>
      <w:cols w:equalWidth="0" w:num="1">
        <w:col w:w="11140"/>
      </w:cols>
      <w:pgMar w:left="320" w:top="49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2020-05-11T15:44:51Z</dcterms:created>
  <dcterms:modified xsi:type="dcterms:W3CDTF">2020-05-11T15:44:51Z</dcterms:modified>
</cp:coreProperties>
</file>