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191135</wp:posOffset>
            </wp:positionH>
            <wp:positionV relativeFrom="page">
              <wp:posOffset>500380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471805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 REPORT PURSUANT TO</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SECTION 13 OR 15(d) OF THE</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3, 2025</w:t>
      </w:r>
    </w:p>
    <w:p>
      <w:pPr>
        <w:spacing w:after="0" w:line="1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DiamondRock Hospitality Company</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ectPr>
          <w:pgSz w:w="11900" w:h="16838" w:orient="portrait"/>
          <w:cols w:equalWidth="0" w:num="1">
            <w:col w:w="11200"/>
          </w:cols>
          <w:pgMar w:left="300" w:top="837" w:right="399" w:bottom="1440" w:gutter="0" w:footer="0" w:header="0"/>
        </w:sectPr>
      </w:pPr>
    </w:p>
    <w:p>
      <w:pPr>
        <w:spacing w:after="0" w:line="7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001-32514</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20-1180098</w:t>
      </w:r>
    </w:p>
    <w:p>
      <w:pPr>
        <w:spacing w:after="0" w:line="20" w:lineRule="exact"/>
        <w:rPr>
          <w:sz w:val="24"/>
          <w:szCs w:val="24"/>
          <w:color w:val="auto"/>
        </w:rPr>
      </w:pPr>
    </w:p>
    <w:p>
      <w:pPr>
        <w:sectPr>
          <w:pgSz w:w="11900" w:h="16838" w:orient="portrait"/>
          <w:cols w:equalWidth="0" w:num="3">
            <w:col w:w="5480" w:space="720"/>
            <w:col w:w="2560" w:space="720"/>
            <w:col w:w="1720"/>
          </w:cols>
          <w:pgMar w:left="300" w:top="837" w:right="399" w:bottom="1440" w:gutter="0" w:footer="0" w:header="0"/>
          <w:type w:val="continuous"/>
        </w:sectPr>
      </w:pPr>
    </w:p>
    <w:p>
      <w:pPr>
        <w:spacing w:after="0" w:line="1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0"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22" w:lineRule="exact"/>
        <w:rPr>
          <w:sz w:val="24"/>
          <w:szCs w:val="24"/>
          <w:color w:val="auto"/>
        </w:rPr>
      </w:pPr>
    </w:p>
    <w:p>
      <w:pPr>
        <w:sectPr>
          <w:pgSz w:w="11900" w:h="16838" w:orient="portrait"/>
          <w:cols w:equalWidth="0" w:num="3">
            <w:col w:w="5460" w:space="720"/>
            <w:col w:w="2480" w:space="720"/>
            <w:col w:w="1820"/>
          </w:cols>
          <w:pgMar w:left="300" w:top="837" w:right="39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2 Bethesda Metro Center, Suite 1400</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Bethesda, MD 20814</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(Zip Code)</w:t>
      </w:r>
    </w:p>
    <w:p>
      <w:pPr>
        <w:sectPr>
          <w:pgSz w:w="11900" w:h="16838" w:orient="portrait"/>
          <w:cols w:equalWidth="0" w:num="1">
            <w:col w:w="11200"/>
          </w:cols>
          <w:pgMar w:left="300" w:top="837" w:right="399" w:bottom="1440" w:gutter="0" w:footer="0" w:header="0"/>
          <w:type w:val="continuous"/>
        </w:sectPr>
      </w:pPr>
    </w:p>
    <w:p>
      <w:pPr>
        <w:spacing w:after="0" w:line="1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(240) 744-1150</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89"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660" w:hanging="656"/>
        <w:spacing w:after="0"/>
        <w:tabs>
          <w:tab w:leader="none" w:pos="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rPr>
                <w:sz w:val="13"/>
                <w:szCs w:val="13"/>
                <w:color w:val="auto"/>
              </w:rPr>
            </w:pPr>
          </w:p>
        </w:tc>
      </w:tr>
      <w:tr>
        <w:trPr>
          <w:trHeight w:val="234"/>
        </w:trPr>
        <w:tc>
          <w:tcPr>
            <w:tcW w:w="420" w:type="dxa"/>
            <w:vAlign w:val="bottom"/>
          </w:tcPr>
          <w:p>
            <w:pPr>
              <w:spacing w:after="0"/>
              <w:rPr>
                <w:sz w:val="20"/>
                <w:szCs w:val="20"/>
                <w:color w:val="auto"/>
              </w:rPr>
            </w:pP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4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w:t>
            </w:r>
          </w:p>
        </w:tc>
        <w:tc>
          <w:tcPr>
            <w:tcW w:w="120" w:type="dxa"/>
            <w:vAlign w:val="bottom"/>
          </w:tcPr>
          <w:p>
            <w:pPr>
              <w:spacing w:after="0"/>
              <w:rPr>
                <w:sz w:val="12"/>
                <w:szCs w:val="12"/>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DRH</w:t>
            </w:r>
          </w:p>
        </w:tc>
        <w:tc>
          <w:tcPr>
            <w:tcW w:w="120" w:type="dxa"/>
            <w:vAlign w:val="bottom"/>
          </w:tcPr>
          <w:p>
            <w:pPr>
              <w:spacing w:after="0"/>
              <w:rPr>
                <w:sz w:val="12"/>
                <w:szCs w:val="12"/>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19"/>
        </w:trPr>
        <w:tc>
          <w:tcPr>
            <w:tcW w:w="420" w:type="dxa"/>
            <w:vAlign w:val="bottom"/>
          </w:tcPr>
          <w:p>
            <w:pPr>
              <w:spacing w:after="0"/>
              <w:rPr>
                <w:sz w:val="10"/>
                <w:szCs w:val="10"/>
                <w:color w:val="auto"/>
              </w:rPr>
            </w:pPr>
          </w:p>
        </w:tc>
        <w:tc>
          <w:tcPr>
            <w:tcW w:w="374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color w:val="auto"/>
                <w:w w:val="99"/>
              </w:rPr>
              <w:t>8.250% Series A Cumulative Redeemable Preferred Stock, par value</w:t>
            </w: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tcPr>
          <w:p>
            <w:pPr>
              <w:spacing w:after="0"/>
              <w:rPr>
                <w:sz w:val="10"/>
                <w:szCs w:val="10"/>
                <w:color w:val="auto"/>
              </w:rPr>
            </w:pPr>
          </w:p>
        </w:tc>
      </w:tr>
      <w:tr>
        <w:trPr>
          <w:trHeight w:val="162"/>
        </w:trPr>
        <w:tc>
          <w:tcPr>
            <w:tcW w:w="420" w:type="dxa"/>
            <w:vAlign w:val="bottom"/>
          </w:tcPr>
          <w:p>
            <w:pPr>
              <w:spacing w:after="0"/>
              <w:rPr>
                <w:sz w:val="14"/>
                <w:szCs w:val="14"/>
                <w:color w:val="auto"/>
              </w:rPr>
            </w:pP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$0.01 per share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DRH Pr A</w:t>
            </w:r>
          </w:p>
        </w:tc>
        <w:tc>
          <w:tcPr>
            <w:tcW w:w="4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61" w:lineRule="exact"/>
        <w:rPr>
          <w:sz w:val="24"/>
          <w:szCs w:val="24"/>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500" w:hanging="238"/>
        <w:spacing w:after="0"/>
        <w:tabs>
          <w:tab w:leader="none" w:pos="5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68" w:lineRule="exact"/>
        <w:rPr>
          <w:sz w:val="24"/>
          <w:szCs w:val="24"/>
          <w:color w:val="auto"/>
        </w:rPr>
      </w:pPr>
    </w:p>
    <w:p>
      <w:pPr>
        <w:ind w:right="160" w:firstLine="27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628015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223520</wp:posOffset>
            </wp:positionV>
            <wp:extent cx="71666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114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206375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00"/>
          </w:cols>
          <w:pgMar w:left="300" w:top="837" w:right="399" w:bottom="1440" w:gutter="0" w:footer="0" w:header="0"/>
          <w:type w:val="continuous"/>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13"/>
          <w:szCs w:val="13"/>
          <w:i w:val="1"/>
          <w:iCs w:val="1"/>
          <w:color w:val="auto"/>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28, 2025.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212529"/>
        </w:rPr>
        <w:t>A copy of a slide presentation that DiamondRock Hospitality Company (the “Company”) intends to use at investor meetings is attached to this Current Report on Form 8-K (“Current Report”) as Exhibit 99.1 and is incorporated by reference herein. Additionally, the Company has posted the slide presentation in the investor relations/presentations section of its website at www.drhc.com.</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such section. The information in this Item 7.01, including Exhibit 99.1, shall not be incorporated by reference into any filing under the Securities Act of 1933, as amended, or the Exchange Act, regardless of any incorporation by reference language in any such filing. This Current Report will not be deemed an admission as to the materiality of any information in this Current Report that is required to be disclosed solely by Regulation FD.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Exhibits.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exhibits are included with this report: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Exhibit No. Description</w:t>
      </w:r>
    </w:p>
    <w:tbl>
      <w:tblPr>
        <w:tblLayout w:type="fixed"/>
        <w:tblInd w:w="0" w:type="dxa"/>
        <w:tblCellMar>
          <w:top w:w="0" w:type="dxa"/>
          <w:left w:w="0" w:type="dxa"/>
          <w:bottom w:w="0" w:type="dxa"/>
          <w:right w:w="0" w:type="dxa"/>
        </w:tblCellMar>
      </w:tblPr>
      <w:tr>
        <w:trPr>
          <w:trHeight w:val="144"/>
        </w:trPr>
        <w:tc>
          <w:tcPr>
            <w:tcW w:w="6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99.1</w:t>
            </w:r>
          </w:p>
        </w:tc>
        <w:tc>
          <w:tcPr>
            <w:tcW w:w="220" w:type="dxa"/>
            <w:vAlign w:val="bottom"/>
          </w:tcPr>
          <w:p>
            <w:pPr>
              <w:spacing w:after="0"/>
              <w:rPr>
                <w:sz w:val="12"/>
                <w:szCs w:val="12"/>
                <w:color w:val="auto"/>
              </w:rPr>
            </w:pPr>
          </w:p>
        </w:tc>
        <w:tc>
          <w:tcPr>
            <w:tcW w:w="1880" w:type="dxa"/>
            <w:vAlign w:val="bottom"/>
            <w:tcBorders>
              <w:bottom w:val="single" w:sz="8" w:color="0000FF"/>
            </w:tcBorders>
          </w:tcPr>
          <w:p>
            <w:pPr>
              <w:spacing w:after="0" w:line="144" w:lineRule="exact"/>
              <w:rPr>
                <w:sz w:val="20"/>
                <w:szCs w:val="20"/>
                <w:color w:val="auto"/>
              </w:rPr>
            </w:pPr>
            <w:r>
              <w:rPr>
                <w:rFonts w:ascii="Times New Roman" w:cs="Times New Roman" w:eastAsia="Times New Roman" w:hAnsi="Times New Roman"/>
                <w:sz w:val="13"/>
                <w:szCs w:val="13"/>
                <w:color w:val="0000FF"/>
              </w:rPr>
              <w:t>Investor Presentation - March 2025</w:t>
            </w:r>
          </w:p>
        </w:tc>
        <w:tc>
          <w:tcPr>
            <w:tcW w:w="8540" w:type="dxa"/>
            <w:vAlign w:val="bottom"/>
          </w:tcPr>
          <w:p>
            <w:pPr>
              <w:spacing w:after="0"/>
              <w:rPr>
                <w:sz w:val="12"/>
                <w:szCs w:val="12"/>
                <w:color w:val="auto"/>
              </w:rPr>
            </w:pPr>
          </w:p>
        </w:tc>
      </w:tr>
      <w:tr>
        <w:trPr>
          <w:trHeight w:val="154"/>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220" w:type="dxa"/>
            <w:vAlign w:val="bottom"/>
          </w:tcPr>
          <w:p>
            <w:pPr>
              <w:spacing w:after="0"/>
              <w:rPr>
                <w:sz w:val="13"/>
                <w:szCs w:val="13"/>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220" w:type="dxa"/>
            <w:vAlign w:val="bottom"/>
          </w:tcPr>
          <w:p>
            <w:pPr>
              <w:spacing w:after="0"/>
              <w:rPr>
                <w:sz w:val="13"/>
                <w:szCs w:val="13"/>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162"/>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220" w:type="dxa"/>
            <w:vAlign w:val="bottom"/>
          </w:tcPr>
          <w:p>
            <w:pPr>
              <w:spacing w:after="0"/>
              <w:rPr>
                <w:sz w:val="14"/>
                <w:szCs w:val="14"/>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62"/>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220" w:type="dxa"/>
            <w:vAlign w:val="bottom"/>
          </w:tcPr>
          <w:p>
            <w:pPr>
              <w:spacing w:after="0"/>
              <w:rPr>
                <w:sz w:val="14"/>
                <w:szCs w:val="14"/>
                <w:color w:val="auto"/>
              </w:rPr>
            </w:pPr>
          </w:p>
        </w:tc>
        <w:tc>
          <w:tcPr>
            <w:tcW w:w="104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220" w:type="dxa"/>
            <w:vAlign w:val="bottom"/>
          </w:tcPr>
          <w:p>
            <w:pPr>
              <w:spacing w:after="0"/>
              <w:rPr>
                <w:sz w:val="13"/>
                <w:szCs w:val="13"/>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06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Cover Page Interactive Data File</w:t>
            </w:r>
          </w:p>
        </w:tc>
      </w:tr>
      <w:tr>
        <w:trPr>
          <w:trHeight w:val="2210"/>
        </w:trPr>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6"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DIAMONDROCK HOSPITALITY COMPANY</w:t>
      </w:r>
    </w:p>
    <w:p>
      <w:pPr>
        <w:spacing w:after="0" w:line="202" w:lineRule="exact"/>
        <w:rPr>
          <w:sz w:val="20"/>
          <w:szCs w:val="20"/>
          <w:color w:val="auto"/>
        </w:rPr>
      </w:pPr>
    </w:p>
    <w:p>
      <w:pPr>
        <w:spacing w:after="0"/>
        <w:tabs>
          <w:tab w:leader="none" w:pos="6720" w:val="left"/>
          <w:tab w:leader="none" w:pos="7200" w:val="left"/>
        </w:tabs>
        <w:rPr>
          <w:sz w:val="20"/>
          <w:szCs w:val="20"/>
          <w:color w:val="auto"/>
        </w:rPr>
      </w:pPr>
      <w:r>
        <w:rPr>
          <w:rFonts w:ascii="Times New Roman" w:cs="Times New Roman" w:eastAsia="Times New Roman" w:hAnsi="Times New Roman"/>
          <w:sz w:val="13"/>
          <w:szCs w:val="13"/>
          <w:color w:val="auto"/>
        </w:rPr>
        <w:t>Dated: March 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Briony R.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28575</wp:posOffset>
            </wp:positionV>
            <wp:extent cx="25717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571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color w:val="auto"/>
        </w:rPr>
        <w:t>Briony R. Quinn</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color w:val="auto"/>
        </w:rPr>
        <w:t>Executive Vice President, Chief Financial Officer and Treasurer</w:t>
      </w:r>
    </w:p>
    <w:p>
      <w:pPr>
        <w:sectPr>
          <w:pgSz w:w="11900" w:h="16838" w:orient="portrait"/>
          <w:cols w:equalWidth="0" w:num="1">
            <w:col w:w="10600"/>
          </w:cols>
          <w:pgMar w:left="300" w:top="636"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575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81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58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2025-03-03T07:46:40Z</dcterms:created>
  <dcterms:modified xsi:type="dcterms:W3CDTF">2025-03-03T07:46:40Z</dcterms:modified>
</cp:coreProperties>
</file>